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34403B45" wp14:editId="1F2E8B3A">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6B3ADA" w:rsidRDefault="006B3ADA" w:rsidP="006B3ADA">
      <w:pPr>
        <w:rPr>
          <w:b/>
          <w:sz w:val="28"/>
          <w:szCs w:val="28"/>
        </w:rPr>
      </w:pPr>
      <w:r>
        <w:rPr>
          <w:b/>
          <w:sz w:val="28"/>
          <w:szCs w:val="28"/>
        </w:rPr>
        <w:t>28 August 2014</w:t>
      </w:r>
    </w:p>
    <w:p w:rsidR="006B3ADA" w:rsidRDefault="006B3ADA" w:rsidP="006B3ADA">
      <w:pPr>
        <w:rPr>
          <w:b/>
          <w:sz w:val="28"/>
          <w:szCs w:val="28"/>
        </w:rPr>
      </w:pPr>
      <w:r>
        <w:rPr>
          <w:b/>
          <w:sz w:val="28"/>
          <w:szCs w:val="28"/>
        </w:rPr>
        <w:t>[17–14]</w:t>
      </w:r>
    </w:p>
    <w:p w:rsidR="00BA24E2" w:rsidRDefault="00BA24E2" w:rsidP="00E203C2"/>
    <w:p w:rsidR="00D056F1" w:rsidRPr="00E27B03" w:rsidRDefault="000427B2" w:rsidP="002432EE">
      <w:pPr>
        <w:pStyle w:val="FSTitle"/>
        <w:rPr>
          <w:rFonts w:ascii="Arial Bold" w:hAnsi="Arial Bold"/>
          <w:b/>
        </w:rPr>
      </w:pPr>
      <w:r w:rsidRPr="00E27B03">
        <w:rPr>
          <w:rFonts w:ascii="Arial Bold" w:hAnsi="Arial Bold"/>
          <w:b/>
        </w:rPr>
        <w:t>C</w:t>
      </w:r>
      <w:r w:rsidR="00D8470F" w:rsidRPr="00E27B03">
        <w:rPr>
          <w:rFonts w:ascii="Arial Bold" w:hAnsi="Arial Bold"/>
          <w:b/>
        </w:rPr>
        <w:t>all</w:t>
      </w:r>
      <w:r w:rsidRPr="00E27B03">
        <w:rPr>
          <w:rFonts w:ascii="Arial Bold" w:hAnsi="Arial Bold"/>
          <w:b/>
        </w:rPr>
        <w:t xml:space="preserve"> </w:t>
      </w:r>
      <w:r w:rsidR="00D8470F" w:rsidRPr="00E27B03">
        <w:rPr>
          <w:rFonts w:ascii="Arial Bold" w:hAnsi="Arial Bold"/>
          <w:b/>
        </w:rPr>
        <w:t>for</w:t>
      </w:r>
      <w:r w:rsidRPr="00E27B03">
        <w:rPr>
          <w:rFonts w:ascii="Arial Bold" w:hAnsi="Arial Bold"/>
          <w:b/>
        </w:rPr>
        <w:t xml:space="preserve"> </w:t>
      </w:r>
      <w:r w:rsidR="00D8470F" w:rsidRPr="00E27B03">
        <w:rPr>
          <w:rFonts w:ascii="Arial Bold" w:hAnsi="Arial Bold"/>
          <w:b/>
        </w:rPr>
        <w:t>submissions</w:t>
      </w:r>
      <w:r w:rsidRPr="00E27B03">
        <w:rPr>
          <w:rFonts w:ascii="Arial Bold" w:hAnsi="Arial Bold"/>
          <w:b/>
        </w:rPr>
        <w:t xml:space="preserve"> – </w:t>
      </w:r>
      <w:r w:rsidR="00D056F1" w:rsidRPr="00E27B03">
        <w:rPr>
          <w:rFonts w:ascii="Arial Bold" w:hAnsi="Arial Bold"/>
          <w:b/>
        </w:rPr>
        <w:t>A</w:t>
      </w:r>
      <w:r w:rsidR="00A91DF1" w:rsidRPr="00E27B03">
        <w:rPr>
          <w:rFonts w:ascii="Arial Bold" w:hAnsi="Arial Bold"/>
          <w:b/>
        </w:rPr>
        <w:t>pplication</w:t>
      </w:r>
      <w:r w:rsidR="002162F5" w:rsidRPr="00E27B03">
        <w:rPr>
          <w:rFonts w:ascii="Arial Bold" w:hAnsi="Arial Bold"/>
          <w:b/>
        </w:rPr>
        <w:t xml:space="preserve"> </w:t>
      </w:r>
      <w:r w:rsidR="00700DA3" w:rsidRPr="00E27B03">
        <w:rPr>
          <w:rFonts w:ascii="Arial Bold" w:hAnsi="Arial Bold"/>
          <w:b/>
        </w:rPr>
        <w:t>A1092</w:t>
      </w:r>
    </w:p>
    <w:p w:rsidR="00E203C2" w:rsidRPr="00E203C2" w:rsidRDefault="00E203C2" w:rsidP="00E203C2"/>
    <w:p w:rsidR="00700DA3" w:rsidRPr="00692B03" w:rsidRDefault="00700DA3" w:rsidP="00700DA3">
      <w:pPr>
        <w:pStyle w:val="Title"/>
        <w:jc w:val="left"/>
        <w:rPr>
          <w:rFonts w:cs="Arial"/>
          <w:b w:val="0"/>
          <w:i w:val="0"/>
          <w:iCs w:val="0"/>
          <w:sz w:val="32"/>
          <w:szCs w:val="32"/>
        </w:rPr>
      </w:pPr>
      <w:r w:rsidRPr="00692B03">
        <w:rPr>
          <w:b w:val="0"/>
          <w:i w:val="0"/>
          <w:sz w:val="32"/>
          <w:szCs w:val="32"/>
        </w:rPr>
        <w:t>Irradiation of Specific Fruits</w:t>
      </w:r>
      <w:r w:rsidRPr="00692B03">
        <w:rPr>
          <w:rFonts w:cs="Arial"/>
          <w:b w:val="0"/>
          <w:i w:val="0"/>
          <w:iCs w:val="0"/>
          <w:sz w:val="32"/>
          <w:szCs w:val="32"/>
        </w:rPr>
        <w:t xml:space="preserve"> </w:t>
      </w:r>
      <w:r w:rsidR="00291224">
        <w:rPr>
          <w:rFonts w:cs="Arial"/>
          <w:b w:val="0"/>
          <w:i w:val="0"/>
          <w:iCs w:val="0"/>
          <w:sz w:val="32"/>
          <w:szCs w:val="32"/>
        </w:rPr>
        <w:t>&amp;</w:t>
      </w:r>
      <w:r w:rsidR="005E3D35">
        <w:rPr>
          <w:rFonts w:cs="Arial"/>
          <w:b w:val="0"/>
          <w:i w:val="0"/>
          <w:iCs w:val="0"/>
          <w:sz w:val="32"/>
          <w:szCs w:val="32"/>
        </w:rPr>
        <w:t xml:space="preserve"> Vegetables</w:t>
      </w:r>
    </w:p>
    <w:p w:rsidR="00E203C2" w:rsidRPr="00E81F6E" w:rsidRDefault="00E203C2" w:rsidP="00E203C2">
      <w:pPr>
        <w:pBdr>
          <w:bottom w:val="single" w:sz="12" w:space="1" w:color="auto"/>
        </w:pBdr>
        <w:spacing w:line="280" w:lineRule="exact"/>
        <w:rPr>
          <w:rFonts w:cs="Arial"/>
          <w:bCs/>
        </w:rPr>
      </w:pPr>
    </w:p>
    <w:p w:rsidR="00E203C2" w:rsidRPr="00E81F6E" w:rsidRDefault="00E203C2" w:rsidP="00E203C2"/>
    <w:p w:rsidR="00E063C6" w:rsidRPr="00537675" w:rsidRDefault="00E063C6" w:rsidP="00537675">
      <w:pPr>
        <w:rPr>
          <w:sz w:val="20"/>
        </w:rPr>
      </w:pPr>
      <w:r w:rsidRPr="00537675">
        <w:rPr>
          <w:sz w:val="20"/>
        </w:rPr>
        <w:t xml:space="preserve">FSANZ </w:t>
      </w:r>
      <w:r w:rsidR="00D81D38" w:rsidRPr="00537675">
        <w:rPr>
          <w:sz w:val="20"/>
        </w:rPr>
        <w:t>has assessed an A</w:t>
      </w:r>
      <w:r w:rsidR="00351B07" w:rsidRPr="00537675">
        <w:rPr>
          <w:sz w:val="20"/>
        </w:rPr>
        <w:t>pplication made by</w:t>
      </w:r>
      <w:r w:rsidR="00700DA3" w:rsidRPr="00537675">
        <w:rPr>
          <w:sz w:val="20"/>
        </w:rPr>
        <w:t xml:space="preserve"> the Queensland Department of Agriculture, Fisheries &amp; Forestry </w:t>
      </w:r>
      <w:r w:rsidR="007C174F" w:rsidRPr="00537675">
        <w:rPr>
          <w:sz w:val="20"/>
        </w:rPr>
        <w:t>to</w:t>
      </w:r>
      <w:r w:rsidR="00700DA3" w:rsidRPr="00537675">
        <w:rPr>
          <w:sz w:val="20"/>
        </w:rPr>
        <w:t xml:space="preserve"> seek permission t</w:t>
      </w:r>
      <w:r w:rsidR="00295969" w:rsidRPr="00537675">
        <w:rPr>
          <w:sz w:val="20"/>
        </w:rPr>
        <w:t xml:space="preserve">o irradiate </w:t>
      </w:r>
      <w:r w:rsidR="00700DA3" w:rsidRPr="00537675">
        <w:rPr>
          <w:sz w:val="20"/>
        </w:rPr>
        <w:t>apple, apricot, cherry, nectarine, peach, plum, honeydew, rockmel</w:t>
      </w:r>
      <w:r w:rsidR="00A71AAF" w:rsidRPr="00537675">
        <w:rPr>
          <w:sz w:val="20"/>
        </w:rPr>
        <w:t xml:space="preserve">on, </w:t>
      </w:r>
      <w:r w:rsidR="00895C3C" w:rsidRPr="00537675">
        <w:rPr>
          <w:sz w:val="20"/>
        </w:rPr>
        <w:t>scallopini</w:t>
      </w:r>
      <w:r w:rsidR="00032DB0" w:rsidRPr="00537675">
        <w:rPr>
          <w:rStyle w:val="FootnoteReference"/>
          <w:sz w:val="20"/>
        </w:rPr>
        <w:footnoteReference w:id="1"/>
      </w:r>
      <w:r w:rsidR="00032DB0" w:rsidRPr="00537675">
        <w:rPr>
          <w:sz w:val="20"/>
        </w:rPr>
        <w:t xml:space="preserve">, </w:t>
      </w:r>
      <w:r w:rsidR="00895C3C" w:rsidRPr="00537675">
        <w:rPr>
          <w:sz w:val="20"/>
        </w:rPr>
        <w:t xml:space="preserve">strawberry, table grape and </w:t>
      </w:r>
      <w:r w:rsidR="00700DA3" w:rsidRPr="00537675">
        <w:rPr>
          <w:sz w:val="20"/>
        </w:rPr>
        <w:t>zucchini</w:t>
      </w:r>
      <w:r w:rsidR="00295969" w:rsidRPr="00537675">
        <w:rPr>
          <w:sz w:val="20"/>
        </w:rPr>
        <w:t xml:space="preserve"> (</w:t>
      </w:r>
      <w:r w:rsidR="00D873BF" w:rsidRPr="00537675">
        <w:rPr>
          <w:sz w:val="20"/>
        </w:rPr>
        <w:t>courgette</w:t>
      </w:r>
      <w:r w:rsidR="00295969" w:rsidRPr="00537675">
        <w:rPr>
          <w:sz w:val="20"/>
        </w:rPr>
        <w:t>)</w:t>
      </w:r>
      <w:r w:rsidR="00895C3C" w:rsidRPr="00537675">
        <w:rPr>
          <w:sz w:val="20"/>
        </w:rPr>
        <w:t xml:space="preserve"> </w:t>
      </w:r>
      <w:r w:rsidR="00700DA3" w:rsidRPr="00537675">
        <w:rPr>
          <w:sz w:val="20"/>
        </w:rPr>
        <w:t xml:space="preserve">for phytosanitary purposes </w:t>
      </w:r>
      <w:r w:rsidR="00413CA8" w:rsidRPr="00537675">
        <w:rPr>
          <w:sz w:val="20"/>
        </w:rPr>
        <w:t xml:space="preserve">and has prepared a draft </w:t>
      </w:r>
      <w:r w:rsidR="00D8470F" w:rsidRPr="00537675">
        <w:rPr>
          <w:sz w:val="20"/>
        </w:rPr>
        <w:t>food regulatory measure</w:t>
      </w:r>
      <w:r w:rsidR="00351B07" w:rsidRPr="00537675">
        <w:rPr>
          <w:sz w:val="20"/>
        </w:rPr>
        <w:t xml:space="preserve">. </w:t>
      </w:r>
      <w:r w:rsidR="00D22F3C" w:rsidRPr="00537675">
        <w:rPr>
          <w:sz w:val="20"/>
        </w:rPr>
        <w:t xml:space="preserve">Pursuant to section 31 of the </w:t>
      </w:r>
      <w:r w:rsidR="00D22F3C" w:rsidRPr="00537675">
        <w:rPr>
          <w:i/>
          <w:sz w:val="20"/>
        </w:rPr>
        <w:t>Food Standard</w:t>
      </w:r>
      <w:r w:rsidR="00E203C2" w:rsidRPr="00537675">
        <w:rPr>
          <w:i/>
          <w:sz w:val="20"/>
        </w:rPr>
        <w:t>s Australia New Zealand Act 1991</w:t>
      </w:r>
      <w:r w:rsidR="00D22F3C" w:rsidRPr="00537675">
        <w:rPr>
          <w:i/>
          <w:sz w:val="20"/>
        </w:rPr>
        <w:t xml:space="preserve"> </w:t>
      </w:r>
      <w:r w:rsidR="00E203C2" w:rsidRPr="00537675">
        <w:rPr>
          <w:sz w:val="20"/>
        </w:rPr>
        <w:t>(</w:t>
      </w:r>
      <w:r w:rsidR="00D22F3C" w:rsidRPr="00537675">
        <w:rPr>
          <w:sz w:val="20"/>
        </w:rPr>
        <w:t>FSANZ Act), FSANZ now c</w:t>
      </w:r>
      <w:r w:rsidR="00E203C2" w:rsidRPr="00537675">
        <w:rPr>
          <w:sz w:val="20"/>
        </w:rPr>
        <w:t xml:space="preserve">alls for submissions to assist consideration of the </w:t>
      </w:r>
      <w:r w:rsidR="00413CA8" w:rsidRPr="00537675">
        <w:rPr>
          <w:sz w:val="20"/>
        </w:rPr>
        <w:t xml:space="preserve">draft </w:t>
      </w:r>
      <w:r w:rsidR="00D8470F" w:rsidRPr="00537675">
        <w:rPr>
          <w:sz w:val="20"/>
        </w:rPr>
        <w:t>food regulatory measure</w:t>
      </w:r>
      <w:r w:rsidR="00D22F3C" w:rsidRPr="00537675">
        <w:rPr>
          <w:sz w:val="20"/>
        </w:rPr>
        <w:t>.</w:t>
      </w:r>
    </w:p>
    <w:p w:rsidR="00413CA8" w:rsidRPr="007C174F" w:rsidRDefault="00413CA8" w:rsidP="00E203C2">
      <w:pPr>
        <w:rPr>
          <w:sz w:val="20"/>
          <w:szCs w:val="20"/>
        </w:rPr>
      </w:pPr>
    </w:p>
    <w:p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rsidR="00D81D38" w:rsidRPr="00276026" w:rsidRDefault="00D81D38" w:rsidP="00276026">
      <w:pPr>
        <w:rPr>
          <w:sz w:val="20"/>
          <w:szCs w:val="20"/>
        </w:rPr>
      </w:pPr>
    </w:p>
    <w:p w:rsidR="00276026" w:rsidRPr="00276026" w:rsidRDefault="00276026" w:rsidP="00537675">
      <w:pPr>
        <w:ind w:right="-569"/>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Pr="00276026" w:rsidRDefault="00876515" w:rsidP="00276026">
      <w:pPr>
        <w:rPr>
          <w:color w:val="000000"/>
          <w:sz w:val="20"/>
          <w:szCs w:val="20"/>
          <w:lang w:val="en-AU"/>
        </w:rPr>
      </w:pPr>
    </w:p>
    <w:p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rsidR="00E203C2" w:rsidRPr="007C174F" w:rsidRDefault="00E203C2" w:rsidP="00E203C2">
      <w:pPr>
        <w:rPr>
          <w:color w:val="000000"/>
          <w:sz w:val="20"/>
          <w:szCs w:val="20"/>
          <w:lang w:val="en-AU"/>
        </w:rPr>
      </w:pPr>
    </w:p>
    <w:p w:rsidR="009341EC" w:rsidRPr="009341EC" w:rsidRDefault="009341EC" w:rsidP="009341EC">
      <w:pPr>
        <w:rPr>
          <w:color w:val="000000"/>
          <w:sz w:val="20"/>
          <w:szCs w:val="20"/>
          <w:lang w:val="en-AU"/>
        </w:rPr>
      </w:pPr>
      <w:r w:rsidRPr="009341EC">
        <w:rPr>
          <w:color w:val="000000"/>
          <w:sz w:val="20"/>
          <w:szCs w:val="20"/>
          <w:lang w:val="en-AU"/>
        </w:rPr>
        <w:t xml:space="preserve">Submissions should be made in writing; be marked clearly with the word ‘Submission’ and quote the correct project number and name. While FSANZ accepts submissions in hard copy to our offices, it is more convenient and quicker to receive submissions electronically through the FSANZ website via the link on </w:t>
      </w:r>
      <w:hyperlink r:id="rId12" w:history="1">
        <w:r w:rsidRPr="009341EC">
          <w:rPr>
            <w:color w:val="3333FF"/>
            <w:sz w:val="20"/>
            <w:szCs w:val="20"/>
            <w:u w:val="single"/>
          </w:rPr>
          <w:t>documents for public comment</w:t>
        </w:r>
      </w:hyperlink>
      <w:r w:rsidRPr="009341EC">
        <w:rPr>
          <w:color w:val="000000"/>
          <w:sz w:val="20"/>
          <w:szCs w:val="20"/>
          <w:lang w:val="en-AU"/>
        </w:rPr>
        <w:t xml:space="preserve">.  You can also email your submission directly to </w:t>
      </w:r>
      <w:hyperlink r:id="rId13" w:history="1">
        <w:r w:rsidRPr="009341EC">
          <w:rPr>
            <w:rFonts w:cs="Arial"/>
            <w:color w:val="3333FF"/>
            <w:sz w:val="20"/>
            <w:szCs w:val="20"/>
            <w:u w:val="single"/>
            <w:lang w:val="en-AU"/>
          </w:rPr>
          <w:t>submissions@foodstandards.gov.au</w:t>
        </w:r>
      </w:hyperlink>
      <w:r w:rsidRPr="009341EC">
        <w:rPr>
          <w:color w:val="000000"/>
          <w:sz w:val="20"/>
          <w:szCs w:val="20"/>
          <w:lang w:val="en-AU"/>
        </w:rPr>
        <w:t xml:space="preserve">. </w:t>
      </w:r>
    </w:p>
    <w:p w:rsidR="00E203C2" w:rsidRPr="007C174F" w:rsidRDefault="00E203C2" w:rsidP="00E203C2">
      <w:pPr>
        <w:rPr>
          <w:color w:val="000000"/>
          <w:sz w:val="20"/>
          <w:szCs w:val="20"/>
          <w:lang w:val="en-AU"/>
        </w:rPr>
      </w:pPr>
    </w:p>
    <w:p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E203C2" w:rsidRPr="00537675" w:rsidRDefault="00E203C2" w:rsidP="00E203C2">
      <w:pPr>
        <w:rPr>
          <w:color w:val="000000"/>
          <w:sz w:val="20"/>
          <w:lang w:val="en-AU"/>
        </w:rPr>
      </w:pPr>
    </w:p>
    <w:p w:rsidR="00E063C6" w:rsidRPr="00537675"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537675">
        <w:rPr>
          <w:rFonts w:cs="Arial"/>
          <w:b/>
          <w:bCs/>
          <w:sz w:val="24"/>
        </w:rPr>
        <w:t xml:space="preserve"> </w:t>
      </w:r>
      <w:r w:rsidR="00537675" w:rsidRPr="00537675">
        <w:rPr>
          <w:rFonts w:cs="Arial"/>
          <w:b/>
          <w:bCs/>
          <w:sz w:val="24"/>
        </w:rPr>
        <w:t>9 October 2014</w:t>
      </w:r>
    </w:p>
    <w:p w:rsidR="000646D1" w:rsidRPr="00537675" w:rsidRDefault="000646D1" w:rsidP="00E203C2">
      <w:pPr>
        <w:rPr>
          <w:sz w:val="18"/>
          <w:szCs w:val="18"/>
          <w:lang w:val="en-AU"/>
        </w:rPr>
      </w:pPr>
    </w:p>
    <w:p w:rsidR="00E063C6" w:rsidRPr="00537675" w:rsidRDefault="00E063C6" w:rsidP="00E203C2">
      <w:pPr>
        <w:rPr>
          <w:sz w:val="18"/>
          <w:szCs w:val="18"/>
          <w:lang w:val="en-AU"/>
        </w:rPr>
      </w:pPr>
      <w:r w:rsidRPr="00537675">
        <w:rPr>
          <w:sz w:val="18"/>
          <w:szCs w:val="18"/>
          <w:lang w:val="en-AU"/>
        </w:rPr>
        <w:t xml:space="preserve">Submissions received after this date will </w:t>
      </w:r>
      <w:r w:rsidR="00351B07" w:rsidRPr="00537675">
        <w:rPr>
          <w:sz w:val="18"/>
          <w:szCs w:val="18"/>
          <w:lang w:val="en-AU"/>
        </w:rPr>
        <w:t>not</w:t>
      </w:r>
      <w:r w:rsidRPr="00537675">
        <w:rPr>
          <w:sz w:val="18"/>
          <w:szCs w:val="18"/>
          <w:lang w:val="en-AU"/>
        </w:rPr>
        <w:t xml:space="preserve"> be considered </w:t>
      </w:r>
      <w:r w:rsidR="00351B07" w:rsidRPr="00537675">
        <w:rPr>
          <w:sz w:val="18"/>
          <w:szCs w:val="18"/>
          <w:lang w:val="en-AU"/>
        </w:rPr>
        <w:t>unless</w:t>
      </w:r>
      <w:r w:rsidRPr="00537675">
        <w:rPr>
          <w:sz w:val="18"/>
          <w:szCs w:val="18"/>
          <w:lang w:val="en-AU"/>
        </w:rPr>
        <w:t xml:space="preserve"> an extension ha</w:t>
      </w:r>
      <w:r w:rsidR="00D22F3C" w:rsidRPr="00537675">
        <w:rPr>
          <w:sz w:val="18"/>
          <w:szCs w:val="18"/>
          <w:lang w:val="en-AU"/>
        </w:rPr>
        <w:t>d</w:t>
      </w:r>
      <w:r w:rsidRPr="00537675">
        <w:rPr>
          <w:sz w:val="18"/>
          <w:szCs w:val="18"/>
          <w:lang w:val="en-AU"/>
        </w:rPr>
        <w:t xml:space="preserve"> been given </w:t>
      </w:r>
      <w:r w:rsidR="0037520F" w:rsidRPr="00537675">
        <w:rPr>
          <w:sz w:val="18"/>
          <w:szCs w:val="18"/>
          <w:lang w:val="en-AU"/>
        </w:rPr>
        <w:t xml:space="preserve">before </w:t>
      </w:r>
      <w:r w:rsidRPr="00537675">
        <w:rPr>
          <w:sz w:val="18"/>
          <w:szCs w:val="18"/>
          <w:lang w:val="en-AU"/>
        </w:rPr>
        <w:t>th</w:t>
      </w:r>
      <w:r w:rsidR="00351B07" w:rsidRPr="00537675">
        <w:rPr>
          <w:sz w:val="18"/>
          <w:szCs w:val="18"/>
          <w:lang w:val="en-AU"/>
        </w:rPr>
        <w:t>e</w:t>
      </w:r>
      <w:r w:rsidRPr="00537675">
        <w:rPr>
          <w:sz w:val="18"/>
          <w:szCs w:val="18"/>
          <w:lang w:val="en-AU"/>
        </w:rPr>
        <w:t xml:space="preserve"> closing date</w:t>
      </w:r>
      <w:r w:rsidR="003309A8" w:rsidRPr="00537675">
        <w:rPr>
          <w:sz w:val="18"/>
          <w:szCs w:val="18"/>
          <w:lang w:val="en-AU"/>
        </w:rPr>
        <w:t xml:space="preserve">. </w:t>
      </w:r>
      <w:r w:rsidR="0037520F" w:rsidRPr="00537675">
        <w:rPr>
          <w:sz w:val="18"/>
          <w:szCs w:val="18"/>
          <w:lang w:val="en-AU"/>
        </w:rPr>
        <w:t xml:space="preserve">Extensions will only be granted due to </w:t>
      </w:r>
      <w:r w:rsidRPr="00537675">
        <w:rPr>
          <w:sz w:val="18"/>
          <w:szCs w:val="18"/>
          <w:lang w:val="en-AU"/>
        </w:rPr>
        <w:t xml:space="preserve">extraordinary circumstances </w:t>
      </w:r>
      <w:r w:rsidR="0037520F" w:rsidRPr="00537675">
        <w:rPr>
          <w:sz w:val="18"/>
          <w:szCs w:val="18"/>
          <w:lang w:val="en-AU"/>
        </w:rPr>
        <w:t xml:space="preserve">during the </w:t>
      </w:r>
      <w:r w:rsidRPr="00537675">
        <w:rPr>
          <w:sz w:val="18"/>
          <w:szCs w:val="18"/>
          <w:lang w:val="en-AU"/>
        </w:rPr>
        <w:t>submission period</w:t>
      </w:r>
      <w:r w:rsidR="003309A8" w:rsidRPr="00537675">
        <w:rPr>
          <w:sz w:val="18"/>
          <w:szCs w:val="18"/>
          <w:lang w:val="en-AU"/>
        </w:rPr>
        <w:t xml:space="preserve">. </w:t>
      </w:r>
      <w:r w:rsidRPr="00537675">
        <w:rPr>
          <w:sz w:val="18"/>
          <w:szCs w:val="18"/>
          <w:lang w:val="en-AU"/>
        </w:rPr>
        <w:t xml:space="preserve">Any agreed extension will be notified on the FSANZ website and will apply to all </w:t>
      </w:r>
      <w:r w:rsidR="00E76DC9" w:rsidRPr="00537675">
        <w:rPr>
          <w:sz w:val="18"/>
          <w:szCs w:val="18"/>
          <w:lang w:val="en-AU"/>
        </w:rPr>
        <w:t>submitters.</w:t>
      </w:r>
      <w:r w:rsidR="00E76DC9">
        <w:rPr>
          <w:sz w:val="18"/>
          <w:szCs w:val="18"/>
          <w:lang w:val="en-AU"/>
        </w:rPr>
        <w:t xml:space="preserve"> </w:t>
      </w:r>
      <w:r w:rsidR="00E76DC9" w:rsidRPr="00537675">
        <w:rPr>
          <w:sz w:val="18"/>
          <w:szCs w:val="18"/>
          <w:lang w:val="en-AU"/>
        </w:rPr>
        <w:t>Questions</w:t>
      </w:r>
      <w:r w:rsidR="0037520F" w:rsidRPr="00537675">
        <w:rPr>
          <w:sz w:val="18"/>
          <w:szCs w:val="18"/>
          <w:lang w:val="en-AU"/>
        </w:rPr>
        <w:t xml:space="preserve"> about</w:t>
      </w:r>
      <w:r w:rsidRPr="00537675">
        <w:rPr>
          <w:sz w:val="18"/>
          <w:szCs w:val="18"/>
          <w:lang w:val="en-AU"/>
        </w:rPr>
        <w:t xml:space="preserve"> making submissions or the application process can be </w:t>
      </w:r>
      <w:r w:rsidR="0037520F" w:rsidRPr="00537675">
        <w:rPr>
          <w:sz w:val="18"/>
          <w:szCs w:val="18"/>
          <w:lang w:val="en-AU"/>
        </w:rPr>
        <w:t>sent to</w:t>
      </w:r>
      <w:r w:rsidRPr="00537675">
        <w:rPr>
          <w:sz w:val="18"/>
          <w:szCs w:val="18"/>
          <w:lang w:val="en-AU"/>
        </w:rPr>
        <w:t xml:space="preserve"> </w:t>
      </w:r>
      <w:hyperlink r:id="rId14" w:history="1">
        <w:r w:rsidRPr="00537675">
          <w:rPr>
            <w:rStyle w:val="Hyperlink"/>
            <w:rFonts w:cs="Arial"/>
            <w:sz w:val="18"/>
            <w:szCs w:val="18"/>
            <w:lang w:val="en-AU"/>
          </w:rPr>
          <w:t>standards.management@foodstandards.gov.au</w:t>
        </w:r>
      </w:hyperlink>
      <w:r w:rsidRPr="00537675">
        <w:rPr>
          <w:sz w:val="18"/>
          <w:szCs w:val="18"/>
          <w:lang w:val="en-AU"/>
        </w:rPr>
        <w:t xml:space="preserve">. </w:t>
      </w:r>
    </w:p>
    <w:p w:rsidR="00E203C2" w:rsidRPr="00537675" w:rsidRDefault="00E203C2" w:rsidP="003A7725">
      <w:pPr>
        <w:rPr>
          <w:sz w:val="18"/>
          <w:lang w:val="en-AU"/>
        </w:rPr>
      </w:pPr>
    </w:p>
    <w:p w:rsidR="00E063C6" w:rsidRPr="00537675" w:rsidRDefault="00351B07" w:rsidP="00E203C2">
      <w:pPr>
        <w:rPr>
          <w:sz w:val="18"/>
          <w:szCs w:val="20"/>
          <w:lang w:val="en-AU"/>
        </w:rPr>
      </w:pPr>
      <w:r w:rsidRPr="00537675">
        <w:rPr>
          <w:sz w:val="18"/>
          <w:szCs w:val="20"/>
          <w:lang w:val="en-AU"/>
        </w:rPr>
        <w:t>Hard</w:t>
      </w:r>
      <w:r w:rsidR="00E063C6" w:rsidRPr="00537675">
        <w:rPr>
          <w:sz w:val="18"/>
          <w:szCs w:val="20"/>
          <w:lang w:val="en-AU"/>
        </w:rPr>
        <w:t xml:space="preserve"> copy submissions may be sent to one of the following addresses:</w:t>
      </w:r>
    </w:p>
    <w:p w:rsidR="00E203C2" w:rsidRPr="00537675" w:rsidRDefault="00E203C2" w:rsidP="00E203C2">
      <w:pPr>
        <w:rPr>
          <w:sz w:val="18"/>
          <w:szCs w:val="20"/>
          <w:lang w:val="en-AU"/>
        </w:rPr>
      </w:pPr>
    </w:p>
    <w:p w:rsidR="00A977FC" w:rsidRPr="00537675" w:rsidRDefault="00A977FC" w:rsidP="00A977FC">
      <w:pPr>
        <w:tabs>
          <w:tab w:val="left" w:pos="4536"/>
        </w:tabs>
        <w:rPr>
          <w:sz w:val="18"/>
          <w:szCs w:val="20"/>
        </w:rPr>
      </w:pPr>
      <w:r w:rsidRPr="00537675">
        <w:rPr>
          <w:sz w:val="18"/>
          <w:szCs w:val="20"/>
        </w:rPr>
        <w:t>Food Standards Australia New Zealand</w:t>
      </w:r>
      <w:r w:rsidRPr="00537675">
        <w:rPr>
          <w:sz w:val="18"/>
          <w:szCs w:val="20"/>
        </w:rPr>
        <w:tab/>
      </w:r>
      <w:r w:rsidRPr="00537675">
        <w:rPr>
          <w:sz w:val="18"/>
          <w:szCs w:val="20"/>
        </w:rPr>
        <w:tab/>
        <w:t>Food Standards Australia New Zealand</w:t>
      </w:r>
    </w:p>
    <w:p w:rsidR="00A977FC" w:rsidRPr="00537675" w:rsidRDefault="00A977FC" w:rsidP="00A977FC">
      <w:pPr>
        <w:tabs>
          <w:tab w:val="left" w:pos="4536"/>
        </w:tabs>
        <w:rPr>
          <w:sz w:val="18"/>
          <w:szCs w:val="20"/>
        </w:rPr>
      </w:pPr>
      <w:r w:rsidRPr="00537675">
        <w:rPr>
          <w:sz w:val="18"/>
          <w:szCs w:val="20"/>
        </w:rPr>
        <w:t>PO Box 7186</w:t>
      </w:r>
      <w:r w:rsidRPr="00537675">
        <w:rPr>
          <w:sz w:val="18"/>
          <w:szCs w:val="20"/>
        </w:rPr>
        <w:tab/>
      </w:r>
      <w:r w:rsidRPr="00537675">
        <w:rPr>
          <w:sz w:val="18"/>
          <w:szCs w:val="20"/>
        </w:rPr>
        <w:tab/>
        <w:t>PO Box 10559</w:t>
      </w:r>
    </w:p>
    <w:p w:rsidR="00A977FC" w:rsidRPr="00537675" w:rsidRDefault="00A977FC" w:rsidP="00A977FC">
      <w:pPr>
        <w:tabs>
          <w:tab w:val="left" w:pos="4536"/>
        </w:tabs>
        <w:rPr>
          <w:sz w:val="18"/>
          <w:szCs w:val="20"/>
        </w:rPr>
      </w:pPr>
      <w:r w:rsidRPr="00537675">
        <w:rPr>
          <w:sz w:val="18"/>
          <w:szCs w:val="20"/>
        </w:rPr>
        <w:t xml:space="preserve">CANBERRA </w:t>
      </w:r>
      <w:proofErr w:type="gramStart"/>
      <w:r w:rsidRPr="00537675">
        <w:rPr>
          <w:sz w:val="18"/>
          <w:szCs w:val="20"/>
        </w:rPr>
        <w:t>BC  ACT</w:t>
      </w:r>
      <w:proofErr w:type="gramEnd"/>
      <w:r w:rsidRPr="00537675">
        <w:rPr>
          <w:sz w:val="18"/>
          <w:szCs w:val="20"/>
        </w:rPr>
        <w:t xml:space="preserve">  2610</w:t>
      </w:r>
      <w:r w:rsidRPr="00537675">
        <w:rPr>
          <w:sz w:val="18"/>
          <w:szCs w:val="20"/>
        </w:rPr>
        <w:tab/>
      </w:r>
      <w:r w:rsidRPr="00537675">
        <w:rPr>
          <w:sz w:val="18"/>
          <w:szCs w:val="20"/>
        </w:rPr>
        <w:tab/>
        <w:t>The Terrace WELLINGTON 6143</w:t>
      </w:r>
    </w:p>
    <w:p w:rsidR="00A977FC" w:rsidRPr="00537675" w:rsidRDefault="00A977FC" w:rsidP="00A977FC">
      <w:pPr>
        <w:tabs>
          <w:tab w:val="left" w:pos="4536"/>
        </w:tabs>
        <w:rPr>
          <w:sz w:val="18"/>
          <w:szCs w:val="20"/>
        </w:rPr>
      </w:pPr>
      <w:r w:rsidRPr="00537675">
        <w:rPr>
          <w:sz w:val="18"/>
          <w:szCs w:val="20"/>
        </w:rPr>
        <w:t>AUSTRALIA</w:t>
      </w:r>
      <w:r w:rsidRPr="00537675">
        <w:rPr>
          <w:sz w:val="18"/>
          <w:szCs w:val="20"/>
        </w:rPr>
        <w:tab/>
      </w:r>
      <w:r w:rsidRPr="00537675">
        <w:rPr>
          <w:sz w:val="18"/>
          <w:szCs w:val="20"/>
        </w:rPr>
        <w:tab/>
        <w:t>NEW ZEALAND</w:t>
      </w:r>
    </w:p>
    <w:p w:rsidR="00537675" w:rsidRDefault="00A977FC" w:rsidP="00203540">
      <w:pPr>
        <w:tabs>
          <w:tab w:val="left" w:pos="4536"/>
        </w:tabs>
        <w:rPr>
          <w:sz w:val="18"/>
          <w:szCs w:val="20"/>
        </w:rPr>
        <w:sectPr w:rsidR="00537675" w:rsidSect="00537675">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1418" w:bottom="1418" w:left="1418" w:header="709" w:footer="709" w:gutter="0"/>
          <w:pgNumType w:fmt="lowerRoman" w:start="1"/>
          <w:cols w:space="708"/>
          <w:docGrid w:linePitch="360"/>
        </w:sectPr>
      </w:pPr>
      <w:r w:rsidRPr="00537675">
        <w:rPr>
          <w:sz w:val="18"/>
          <w:szCs w:val="20"/>
        </w:rPr>
        <w:t xml:space="preserve">Tel +61 2 6271 2222  </w:t>
      </w:r>
      <w:r w:rsidRPr="00537675">
        <w:rPr>
          <w:sz w:val="18"/>
          <w:szCs w:val="20"/>
        </w:rPr>
        <w:tab/>
      </w:r>
      <w:r w:rsidRPr="00537675">
        <w:rPr>
          <w:sz w:val="18"/>
          <w:szCs w:val="20"/>
        </w:rPr>
        <w:tab/>
        <w:t>Tel +64 4 978 5630</w:t>
      </w:r>
    </w:p>
    <w:p w:rsidR="000120D9" w:rsidRDefault="00562917" w:rsidP="000120D9">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rsidR="00562917" w:rsidRPr="00AE766D" w:rsidRDefault="00562917" w:rsidP="00051ED9">
      <w:pPr>
        <w:rPr>
          <w:rFonts w:cs="Arial"/>
        </w:rPr>
      </w:pPr>
    </w:p>
    <w:p w:rsidR="00AB03E6" w:rsidRPr="00537675" w:rsidRDefault="00051ED9">
      <w:pPr>
        <w:pStyle w:val="TOC1"/>
        <w:tabs>
          <w:tab w:val="right" w:leader="dot" w:pos="9060"/>
        </w:tabs>
        <w:rPr>
          <w:rFonts w:ascii="Arial" w:eastAsiaTheme="minorEastAsia" w:hAnsi="Arial" w:cs="Arial"/>
          <w:b w:val="0"/>
          <w:bCs w:val="0"/>
          <w:caps w:val="0"/>
          <w:noProof/>
          <w:sz w:val="22"/>
          <w:szCs w:val="22"/>
          <w:lang w:val="en-NZ" w:eastAsia="en-NZ" w:bidi="ar-SA"/>
        </w:rPr>
      </w:pPr>
      <w:r w:rsidRPr="00537675">
        <w:rPr>
          <w:rFonts w:ascii="Arial" w:hAnsi="Arial" w:cs="Arial"/>
        </w:rPr>
        <w:fldChar w:fldCharType="begin"/>
      </w:r>
      <w:r w:rsidRPr="00537675">
        <w:rPr>
          <w:rFonts w:ascii="Arial" w:hAnsi="Arial" w:cs="Arial"/>
        </w:rPr>
        <w:instrText xml:space="preserve"> TOC \o "1-3" \h \z \u </w:instrText>
      </w:r>
      <w:r w:rsidRPr="00537675">
        <w:rPr>
          <w:rFonts w:ascii="Arial" w:hAnsi="Arial" w:cs="Arial"/>
        </w:rPr>
        <w:fldChar w:fldCharType="separate"/>
      </w:r>
      <w:hyperlink w:anchor="_Toc396117771" w:history="1">
        <w:r w:rsidR="00AB03E6" w:rsidRPr="00537675">
          <w:rPr>
            <w:rStyle w:val="Hyperlink"/>
            <w:rFonts w:cs="Arial"/>
            <w:noProof/>
          </w:rPr>
          <w:t>Executive summary</w:t>
        </w:r>
        <w:r w:rsidR="00AB03E6" w:rsidRPr="00537675">
          <w:rPr>
            <w:rFonts w:ascii="Arial" w:hAnsi="Arial" w:cs="Arial"/>
            <w:noProof/>
            <w:webHidden/>
          </w:rPr>
          <w:tab/>
        </w:r>
        <w:r w:rsidR="00AB03E6" w:rsidRPr="00537675">
          <w:rPr>
            <w:rFonts w:ascii="Arial" w:hAnsi="Arial" w:cs="Arial"/>
            <w:noProof/>
            <w:webHidden/>
          </w:rPr>
          <w:fldChar w:fldCharType="begin"/>
        </w:r>
        <w:r w:rsidR="00AB03E6" w:rsidRPr="00537675">
          <w:rPr>
            <w:rFonts w:ascii="Arial" w:hAnsi="Arial" w:cs="Arial"/>
            <w:noProof/>
            <w:webHidden/>
          </w:rPr>
          <w:instrText xml:space="preserve"> PAGEREF _Toc396117771 \h </w:instrText>
        </w:r>
        <w:r w:rsidR="00AB03E6" w:rsidRPr="00537675">
          <w:rPr>
            <w:rFonts w:ascii="Arial" w:hAnsi="Arial" w:cs="Arial"/>
            <w:noProof/>
            <w:webHidden/>
          </w:rPr>
        </w:r>
        <w:r w:rsidR="00AB03E6" w:rsidRPr="00537675">
          <w:rPr>
            <w:rFonts w:ascii="Arial" w:hAnsi="Arial" w:cs="Arial"/>
            <w:noProof/>
            <w:webHidden/>
          </w:rPr>
          <w:fldChar w:fldCharType="separate"/>
        </w:r>
        <w:r w:rsidR="00702EFF">
          <w:rPr>
            <w:rFonts w:ascii="Arial" w:hAnsi="Arial" w:cs="Arial"/>
            <w:noProof/>
            <w:webHidden/>
          </w:rPr>
          <w:t>2</w:t>
        </w:r>
        <w:r w:rsidR="00AB03E6" w:rsidRPr="00537675">
          <w:rPr>
            <w:rFonts w:ascii="Arial" w:hAnsi="Arial" w:cs="Arial"/>
            <w:noProof/>
            <w:webHidden/>
          </w:rPr>
          <w:fldChar w:fldCharType="end"/>
        </w:r>
      </w:hyperlink>
    </w:p>
    <w:p w:rsidR="00AB03E6" w:rsidRPr="00537675" w:rsidRDefault="00702EFF">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396117772" w:history="1">
        <w:r w:rsidR="00AB03E6" w:rsidRPr="00537675">
          <w:rPr>
            <w:rStyle w:val="Hyperlink"/>
            <w:rFonts w:cs="Arial"/>
            <w:noProof/>
          </w:rPr>
          <w:t>1</w:t>
        </w:r>
        <w:r w:rsidR="00AB03E6" w:rsidRPr="00537675">
          <w:rPr>
            <w:rFonts w:ascii="Arial" w:eastAsiaTheme="minorEastAsia" w:hAnsi="Arial" w:cs="Arial"/>
            <w:b w:val="0"/>
            <w:bCs w:val="0"/>
            <w:caps w:val="0"/>
            <w:noProof/>
            <w:sz w:val="22"/>
            <w:szCs w:val="22"/>
            <w:lang w:val="en-NZ" w:eastAsia="en-NZ" w:bidi="ar-SA"/>
          </w:rPr>
          <w:tab/>
        </w:r>
        <w:r w:rsidR="00AB03E6" w:rsidRPr="00537675">
          <w:rPr>
            <w:rStyle w:val="Hyperlink"/>
            <w:rFonts w:cs="Arial"/>
            <w:noProof/>
          </w:rPr>
          <w:t>Introduction</w:t>
        </w:r>
        <w:r w:rsidR="00AB03E6" w:rsidRPr="00537675">
          <w:rPr>
            <w:rFonts w:ascii="Arial" w:hAnsi="Arial" w:cs="Arial"/>
            <w:noProof/>
            <w:webHidden/>
          </w:rPr>
          <w:tab/>
        </w:r>
        <w:r w:rsidR="00AB03E6" w:rsidRPr="00537675">
          <w:rPr>
            <w:rFonts w:ascii="Arial" w:hAnsi="Arial" w:cs="Arial"/>
            <w:noProof/>
            <w:webHidden/>
          </w:rPr>
          <w:fldChar w:fldCharType="begin"/>
        </w:r>
        <w:r w:rsidR="00AB03E6" w:rsidRPr="00537675">
          <w:rPr>
            <w:rFonts w:ascii="Arial" w:hAnsi="Arial" w:cs="Arial"/>
            <w:noProof/>
            <w:webHidden/>
          </w:rPr>
          <w:instrText xml:space="preserve"> PAGEREF _Toc396117772 \h </w:instrText>
        </w:r>
        <w:r w:rsidR="00AB03E6" w:rsidRPr="00537675">
          <w:rPr>
            <w:rFonts w:ascii="Arial" w:hAnsi="Arial" w:cs="Arial"/>
            <w:noProof/>
            <w:webHidden/>
          </w:rPr>
        </w:r>
        <w:r w:rsidR="00AB03E6" w:rsidRPr="00537675">
          <w:rPr>
            <w:rFonts w:ascii="Arial" w:hAnsi="Arial" w:cs="Arial"/>
            <w:noProof/>
            <w:webHidden/>
          </w:rPr>
          <w:fldChar w:fldCharType="separate"/>
        </w:r>
        <w:r>
          <w:rPr>
            <w:rFonts w:ascii="Arial" w:hAnsi="Arial" w:cs="Arial"/>
            <w:noProof/>
            <w:webHidden/>
          </w:rPr>
          <w:t>3</w:t>
        </w:r>
        <w:r w:rsidR="00AB03E6" w:rsidRPr="00537675">
          <w:rPr>
            <w:rFonts w:ascii="Arial" w:hAnsi="Arial" w:cs="Arial"/>
            <w:noProof/>
            <w:webHidden/>
          </w:rPr>
          <w:fldChar w:fldCharType="end"/>
        </w:r>
      </w:hyperlink>
    </w:p>
    <w:p w:rsidR="00AB03E6" w:rsidRPr="00537675" w:rsidRDefault="00702EFF">
      <w:pPr>
        <w:pStyle w:val="TOC2"/>
        <w:rPr>
          <w:rFonts w:ascii="Arial" w:eastAsiaTheme="minorEastAsia" w:hAnsi="Arial" w:cs="Arial"/>
          <w:smallCaps w:val="0"/>
          <w:sz w:val="22"/>
          <w:szCs w:val="22"/>
          <w:lang w:val="en-NZ" w:eastAsia="en-NZ" w:bidi="ar-SA"/>
        </w:rPr>
      </w:pPr>
      <w:hyperlink w:anchor="_Toc396117773" w:history="1">
        <w:r w:rsidR="00AB03E6" w:rsidRPr="00537675">
          <w:rPr>
            <w:rStyle w:val="Hyperlink"/>
            <w:rFonts w:cs="Arial"/>
          </w:rPr>
          <w:t>1.1</w:t>
        </w:r>
        <w:r w:rsidR="00AB03E6" w:rsidRPr="00537675">
          <w:rPr>
            <w:rFonts w:ascii="Arial" w:eastAsiaTheme="minorEastAsia" w:hAnsi="Arial" w:cs="Arial"/>
            <w:smallCaps w:val="0"/>
            <w:sz w:val="22"/>
            <w:szCs w:val="22"/>
            <w:lang w:val="en-NZ" w:eastAsia="en-NZ" w:bidi="ar-SA"/>
          </w:rPr>
          <w:tab/>
        </w:r>
        <w:r w:rsidR="00AB03E6" w:rsidRPr="00537675">
          <w:rPr>
            <w:rStyle w:val="Hyperlink"/>
            <w:rFonts w:cs="Arial"/>
          </w:rPr>
          <w:t>The Applicant</w:t>
        </w:r>
        <w:r w:rsidR="00AB03E6" w:rsidRPr="00537675">
          <w:rPr>
            <w:rFonts w:ascii="Arial" w:hAnsi="Arial" w:cs="Arial"/>
            <w:webHidden/>
          </w:rPr>
          <w:tab/>
        </w:r>
        <w:r w:rsidR="00AB03E6" w:rsidRPr="00537675">
          <w:rPr>
            <w:rFonts w:ascii="Arial" w:hAnsi="Arial" w:cs="Arial"/>
            <w:webHidden/>
          </w:rPr>
          <w:fldChar w:fldCharType="begin"/>
        </w:r>
        <w:r w:rsidR="00AB03E6" w:rsidRPr="00537675">
          <w:rPr>
            <w:rFonts w:ascii="Arial" w:hAnsi="Arial" w:cs="Arial"/>
            <w:webHidden/>
          </w:rPr>
          <w:instrText xml:space="preserve"> PAGEREF _Toc396117773 \h </w:instrText>
        </w:r>
        <w:r w:rsidR="00AB03E6" w:rsidRPr="00537675">
          <w:rPr>
            <w:rFonts w:ascii="Arial" w:hAnsi="Arial" w:cs="Arial"/>
            <w:webHidden/>
          </w:rPr>
        </w:r>
        <w:r w:rsidR="00AB03E6" w:rsidRPr="00537675">
          <w:rPr>
            <w:rFonts w:ascii="Arial" w:hAnsi="Arial" w:cs="Arial"/>
            <w:webHidden/>
          </w:rPr>
          <w:fldChar w:fldCharType="separate"/>
        </w:r>
        <w:r>
          <w:rPr>
            <w:rFonts w:ascii="Arial" w:hAnsi="Arial" w:cs="Arial"/>
            <w:webHidden/>
          </w:rPr>
          <w:t>3</w:t>
        </w:r>
        <w:r w:rsidR="00AB03E6" w:rsidRPr="00537675">
          <w:rPr>
            <w:rFonts w:ascii="Arial" w:hAnsi="Arial" w:cs="Arial"/>
            <w:webHidden/>
          </w:rPr>
          <w:fldChar w:fldCharType="end"/>
        </w:r>
      </w:hyperlink>
    </w:p>
    <w:p w:rsidR="00AB03E6" w:rsidRPr="00537675" w:rsidRDefault="00702EFF">
      <w:pPr>
        <w:pStyle w:val="TOC2"/>
        <w:rPr>
          <w:rFonts w:ascii="Arial" w:eastAsiaTheme="minorEastAsia" w:hAnsi="Arial" w:cs="Arial"/>
          <w:smallCaps w:val="0"/>
          <w:sz w:val="22"/>
          <w:szCs w:val="22"/>
          <w:lang w:val="en-NZ" w:eastAsia="en-NZ" w:bidi="ar-SA"/>
        </w:rPr>
      </w:pPr>
      <w:hyperlink w:anchor="_Toc396117774" w:history="1">
        <w:r w:rsidR="00AB03E6" w:rsidRPr="00537675">
          <w:rPr>
            <w:rStyle w:val="Hyperlink"/>
            <w:rFonts w:cs="Arial"/>
          </w:rPr>
          <w:t>1.2</w:t>
        </w:r>
        <w:r w:rsidR="00AB03E6" w:rsidRPr="00537675">
          <w:rPr>
            <w:rFonts w:ascii="Arial" w:eastAsiaTheme="minorEastAsia" w:hAnsi="Arial" w:cs="Arial"/>
            <w:smallCaps w:val="0"/>
            <w:sz w:val="22"/>
            <w:szCs w:val="22"/>
            <w:lang w:val="en-NZ" w:eastAsia="en-NZ" w:bidi="ar-SA"/>
          </w:rPr>
          <w:tab/>
        </w:r>
        <w:r w:rsidR="00AB03E6" w:rsidRPr="00537675">
          <w:rPr>
            <w:rStyle w:val="Hyperlink"/>
            <w:rFonts w:cs="Arial"/>
          </w:rPr>
          <w:t>The Application</w:t>
        </w:r>
        <w:r w:rsidR="00AB03E6" w:rsidRPr="00537675">
          <w:rPr>
            <w:rFonts w:ascii="Arial" w:hAnsi="Arial" w:cs="Arial"/>
            <w:webHidden/>
          </w:rPr>
          <w:tab/>
        </w:r>
        <w:r w:rsidR="00AB03E6" w:rsidRPr="00537675">
          <w:rPr>
            <w:rFonts w:ascii="Arial" w:hAnsi="Arial" w:cs="Arial"/>
            <w:webHidden/>
          </w:rPr>
          <w:fldChar w:fldCharType="begin"/>
        </w:r>
        <w:r w:rsidR="00AB03E6" w:rsidRPr="00537675">
          <w:rPr>
            <w:rFonts w:ascii="Arial" w:hAnsi="Arial" w:cs="Arial"/>
            <w:webHidden/>
          </w:rPr>
          <w:instrText xml:space="preserve"> PAGEREF _Toc396117774 \h </w:instrText>
        </w:r>
        <w:r w:rsidR="00AB03E6" w:rsidRPr="00537675">
          <w:rPr>
            <w:rFonts w:ascii="Arial" w:hAnsi="Arial" w:cs="Arial"/>
            <w:webHidden/>
          </w:rPr>
        </w:r>
        <w:r w:rsidR="00AB03E6" w:rsidRPr="00537675">
          <w:rPr>
            <w:rFonts w:ascii="Arial" w:hAnsi="Arial" w:cs="Arial"/>
            <w:webHidden/>
          </w:rPr>
          <w:fldChar w:fldCharType="separate"/>
        </w:r>
        <w:r>
          <w:rPr>
            <w:rFonts w:ascii="Arial" w:hAnsi="Arial" w:cs="Arial"/>
            <w:webHidden/>
          </w:rPr>
          <w:t>3</w:t>
        </w:r>
        <w:r w:rsidR="00AB03E6" w:rsidRPr="00537675">
          <w:rPr>
            <w:rFonts w:ascii="Arial" w:hAnsi="Arial" w:cs="Arial"/>
            <w:webHidden/>
          </w:rPr>
          <w:fldChar w:fldCharType="end"/>
        </w:r>
      </w:hyperlink>
    </w:p>
    <w:p w:rsidR="00AB03E6" w:rsidRPr="00537675" w:rsidRDefault="00702EFF">
      <w:pPr>
        <w:pStyle w:val="TOC2"/>
        <w:rPr>
          <w:rFonts w:ascii="Arial" w:eastAsiaTheme="minorEastAsia" w:hAnsi="Arial" w:cs="Arial"/>
          <w:smallCaps w:val="0"/>
          <w:sz w:val="22"/>
          <w:szCs w:val="22"/>
          <w:lang w:val="en-NZ" w:eastAsia="en-NZ" w:bidi="ar-SA"/>
        </w:rPr>
      </w:pPr>
      <w:hyperlink w:anchor="_Toc396117775" w:history="1">
        <w:r w:rsidR="00AB03E6" w:rsidRPr="00537675">
          <w:rPr>
            <w:rStyle w:val="Hyperlink"/>
            <w:rFonts w:cs="Arial"/>
          </w:rPr>
          <w:t>1.3</w:t>
        </w:r>
        <w:r w:rsidR="00AB03E6" w:rsidRPr="00537675">
          <w:rPr>
            <w:rFonts w:ascii="Arial" w:eastAsiaTheme="minorEastAsia" w:hAnsi="Arial" w:cs="Arial"/>
            <w:smallCaps w:val="0"/>
            <w:sz w:val="22"/>
            <w:szCs w:val="22"/>
            <w:lang w:val="en-NZ" w:eastAsia="en-NZ" w:bidi="ar-SA"/>
          </w:rPr>
          <w:tab/>
        </w:r>
        <w:r w:rsidR="00AB03E6" w:rsidRPr="00537675">
          <w:rPr>
            <w:rStyle w:val="Hyperlink"/>
            <w:rFonts w:cs="Arial"/>
          </w:rPr>
          <w:t>The Current Standard</w:t>
        </w:r>
        <w:r w:rsidR="00AB03E6" w:rsidRPr="00537675">
          <w:rPr>
            <w:rFonts w:ascii="Arial" w:hAnsi="Arial" w:cs="Arial"/>
            <w:webHidden/>
          </w:rPr>
          <w:tab/>
        </w:r>
        <w:r w:rsidR="00AB03E6" w:rsidRPr="00537675">
          <w:rPr>
            <w:rFonts w:ascii="Arial" w:hAnsi="Arial" w:cs="Arial"/>
            <w:webHidden/>
          </w:rPr>
          <w:fldChar w:fldCharType="begin"/>
        </w:r>
        <w:r w:rsidR="00AB03E6" w:rsidRPr="00537675">
          <w:rPr>
            <w:rFonts w:ascii="Arial" w:hAnsi="Arial" w:cs="Arial"/>
            <w:webHidden/>
          </w:rPr>
          <w:instrText xml:space="preserve"> PAGEREF _Toc396117775 \h </w:instrText>
        </w:r>
        <w:r w:rsidR="00AB03E6" w:rsidRPr="00537675">
          <w:rPr>
            <w:rFonts w:ascii="Arial" w:hAnsi="Arial" w:cs="Arial"/>
            <w:webHidden/>
          </w:rPr>
        </w:r>
        <w:r w:rsidR="00AB03E6" w:rsidRPr="00537675">
          <w:rPr>
            <w:rFonts w:ascii="Arial" w:hAnsi="Arial" w:cs="Arial"/>
            <w:webHidden/>
          </w:rPr>
          <w:fldChar w:fldCharType="separate"/>
        </w:r>
        <w:r>
          <w:rPr>
            <w:rFonts w:ascii="Arial" w:hAnsi="Arial" w:cs="Arial"/>
            <w:webHidden/>
          </w:rPr>
          <w:t>3</w:t>
        </w:r>
        <w:r w:rsidR="00AB03E6" w:rsidRPr="00537675">
          <w:rPr>
            <w:rFonts w:ascii="Arial" w:hAnsi="Arial" w:cs="Arial"/>
            <w:webHidden/>
          </w:rPr>
          <w:fldChar w:fldCharType="end"/>
        </w:r>
      </w:hyperlink>
    </w:p>
    <w:p w:rsidR="00AB03E6" w:rsidRPr="00537675" w:rsidRDefault="00702EFF">
      <w:pPr>
        <w:pStyle w:val="TOC2"/>
        <w:rPr>
          <w:rFonts w:ascii="Arial" w:eastAsiaTheme="minorEastAsia" w:hAnsi="Arial" w:cs="Arial"/>
          <w:smallCaps w:val="0"/>
          <w:sz w:val="22"/>
          <w:szCs w:val="22"/>
          <w:lang w:val="en-NZ" w:eastAsia="en-NZ" w:bidi="ar-SA"/>
        </w:rPr>
      </w:pPr>
      <w:hyperlink w:anchor="_Toc396117776" w:history="1">
        <w:r w:rsidR="00AB03E6" w:rsidRPr="00537675">
          <w:rPr>
            <w:rStyle w:val="Hyperlink"/>
            <w:rFonts w:cs="Arial"/>
          </w:rPr>
          <w:t>1.4</w:t>
        </w:r>
        <w:r w:rsidR="00AB03E6" w:rsidRPr="00537675">
          <w:rPr>
            <w:rFonts w:ascii="Arial" w:eastAsiaTheme="minorEastAsia" w:hAnsi="Arial" w:cs="Arial"/>
            <w:smallCaps w:val="0"/>
            <w:sz w:val="22"/>
            <w:szCs w:val="22"/>
            <w:lang w:val="en-NZ" w:eastAsia="en-NZ" w:bidi="ar-SA"/>
          </w:rPr>
          <w:tab/>
        </w:r>
        <w:r w:rsidR="00AB03E6" w:rsidRPr="00537675">
          <w:rPr>
            <w:rStyle w:val="Hyperlink"/>
            <w:rFonts w:cs="Arial"/>
          </w:rPr>
          <w:t>Reasons for accepting Application</w:t>
        </w:r>
        <w:r w:rsidR="00AB03E6" w:rsidRPr="00537675">
          <w:rPr>
            <w:rFonts w:ascii="Arial" w:hAnsi="Arial" w:cs="Arial"/>
            <w:webHidden/>
          </w:rPr>
          <w:tab/>
        </w:r>
        <w:r w:rsidR="00AB03E6" w:rsidRPr="00537675">
          <w:rPr>
            <w:rFonts w:ascii="Arial" w:hAnsi="Arial" w:cs="Arial"/>
            <w:webHidden/>
          </w:rPr>
          <w:fldChar w:fldCharType="begin"/>
        </w:r>
        <w:r w:rsidR="00AB03E6" w:rsidRPr="00537675">
          <w:rPr>
            <w:rFonts w:ascii="Arial" w:hAnsi="Arial" w:cs="Arial"/>
            <w:webHidden/>
          </w:rPr>
          <w:instrText xml:space="preserve"> PAGEREF _Toc396117776 \h </w:instrText>
        </w:r>
        <w:r w:rsidR="00AB03E6" w:rsidRPr="00537675">
          <w:rPr>
            <w:rFonts w:ascii="Arial" w:hAnsi="Arial" w:cs="Arial"/>
            <w:webHidden/>
          </w:rPr>
        </w:r>
        <w:r w:rsidR="00AB03E6" w:rsidRPr="00537675">
          <w:rPr>
            <w:rFonts w:ascii="Arial" w:hAnsi="Arial" w:cs="Arial"/>
            <w:webHidden/>
          </w:rPr>
          <w:fldChar w:fldCharType="separate"/>
        </w:r>
        <w:r>
          <w:rPr>
            <w:rFonts w:ascii="Arial" w:hAnsi="Arial" w:cs="Arial"/>
            <w:webHidden/>
          </w:rPr>
          <w:t>4</w:t>
        </w:r>
        <w:r w:rsidR="00AB03E6" w:rsidRPr="00537675">
          <w:rPr>
            <w:rFonts w:ascii="Arial" w:hAnsi="Arial" w:cs="Arial"/>
            <w:webHidden/>
          </w:rPr>
          <w:fldChar w:fldCharType="end"/>
        </w:r>
      </w:hyperlink>
    </w:p>
    <w:p w:rsidR="00AB03E6" w:rsidRPr="00537675" w:rsidRDefault="00702EFF">
      <w:pPr>
        <w:pStyle w:val="TOC2"/>
        <w:rPr>
          <w:rFonts w:ascii="Arial" w:eastAsiaTheme="minorEastAsia" w:hAnsi="Arial" w:cs="Arial"/>
          <w:smallCaps w:val="0"/>
          <w:sz w:val="22"/>
          <w:szCs w:val="22"/>
          <w:lang w:val="en-NZ" w:eastAsia="en-NZ" w:bidi="ar-SA"/>
        </w:rPr>
      </w:pPr>
      <w:hyperlink w:anchor="_Toc396117777" w:history="1">
        <w:r w:rsidR="00AB03E6" w:rsidRPr="00537675">
          <w:rPr>
            <w:rStyle w:val="Hyperlink"/>
            <w:rFonts w:cs="Arial"/>
          </w:rPr>
          <w:t>1.5</w:t>
        </w:r>
        <w:r w:rsidR="00AB03E6" w:rsidRPr="00537675">
          <w:rPr>
            <w:rFonts w:ascii="Arial" w:eastAsiaTheme="minorEastAsia" w:hAnsi="Arial" w:cs="Arial"/>
            <w:smallCaps w:val="0"/>
            <w:sz w:val="22"/>
            <w:szCs w:val="22"/>
            <w:lang w:val="en-NZ" w:eastAsia="en-NZ" w:bidi="ar-SA"/>
          </w:rPr>
          <w:tab/>
        </w:r>
        <w:r w:rsidR="00AB03E6" w:rsidRPr="00537675">
          <w:rPr>
            <w:rStyle w:val="Hyperlink"/>
            <w:rFonts w:cs="Arial"/>
          </w:rPr>
          <w:t>Procedure for assessment</w:t>
        </w:r>
        <w:r w:rsidR="00AB03E6" w:rsidRPr="00537675">
          <w:rPr>
            <w:rFonts w:ascii="Arial" w:hAnsi="Arial" w:cs="Arial"/>
            <w:webHidden/>
          </w:rPr>
          <w:tab/>
        </w:r>
        <w:r w:rsidR="00AB03E6" w:rsidRPr="00537675">
          <w:rPr>
            <w:rFonts w:ascii="Arial" w:hAnsi="Arial" w:cs="Arial"/>
            <w:webHidden/>
          </w:rPr>
          <w:fldChar w:fldCharType="begin"/>
        </w:r>
        <w:r w:rsidR="00AB03E6" w:rsidRPr="00537675">
          <w:rPr>
            <w:rFonts w:ascii="Arial" w:hAnsi="Arial" w:cs="Arial"/>
            <w:webHidden/>
          </w:rPr>
          <w:instrText xml:space="preserve"> PAGEREF _Toc396117777 \h </w:instrText>
        </w:r>
        <w:r w:rsidR="00AB03E6" w:rsidRPr="00537675">
          <w:rPr>
            <w:rFonts w:ascii="Arial" w:hAnsi="Arial" w:cs="Arial"/>
            <w:webHidden/>
          </w:rPr>
        </w:r>
        <w:r w:rsidR="00AB03E6" w:rsidRPr="00537675">
          <w:rPr>
            <w:rFonts w:ascii="Arial" w:hAnsi="Arial" w:cs="Arial"/>
            <w:webHidden/>
          </w:rPr>
          <w:fldChar w:fldCharType="separate"/>
        </w:r>
        <w:r>
          <w:rPr>
            <w:rFonts w:ascii="Arial" w:hAnsi="Arial" w:cs="Arial"/>
            <w:webHidden/>
          </w:rPr>
          <w:t>4</w:t>
        </w:r>
        <w:r w:rsidR="00AB03E6" w:rsidRPr="00537675">
          <w:rPr>
            <w:rFonts w:ascii="Arial" w:hAnsi="Arial" w:cs="Arial"/>
            <w:webHidden/>
          </w:rPr>
          <w:fldChar w:fldCharType="end"/>
        </w:r>
      </w:hyperlink>
    </w:p>
    <w:p w:rsidR="00AB03E6" w:rsidRPr="00537675" w:rsidRDefault="00702EFF">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396117778" w:history="1">
        <w:r w:rsidR="00AB03E6" w:rsidRPr="00537675">
          <w:rPr>
            <w:rStyle w:val="Hyperlink"/>
            <w:rFonts w:cs="Arial"/>
            <w:noProof/>
          </w:rPr>
          <w:t>2</w:t>
        </w:r>
        <w:r w:rsidR="00AB03E6" w:rsidRPr="00537675">
          <w:rPr>
            <w:rFonts w:ascii="Arial" w:eastAsiaTheme="minorEastAsia" w:hAnsi="Arial" w:cs="Arial"/>
            <w:b w:val="0"/>
            <w:bCs w:val="0"/>
            <w:caps w:val="0"/>
            <w:noProof/>
            <w:sz w:val="22"/>
            <w:szCs w:val="22"/>
            <w:lang w:val="en-NZ" w:eastAsia="en-NZ" w:bidi="ar-SA"/>
          </w:rPr>
          <w:tab/>
        </w:r>
        <w:r w:rsidR="00AB03E6" w:rsidRPr="00537675">
          <w:rPr>
            <w:rStyle w:val="Hyperlink"/>
            <w:rFonts w:cs="Arial"/>
            <w:noProof/>
          </w:rPr>
          <w:t>Summary of the assessment</w:t>
        </w:r>
        <w:r w:rsidR="00AB03E6" w:rsidRPr="00537675">
          <w:rPr>
            <w:rFonts w:ascii="Arial" w:hAnsi="Arial" w:cs="Arial"/>
            <w:noProof/>
            <w:webHidden/>
          </w:rPr>
          <w:tab/>
        </w:r>
        <w:r w:rsidR="00AB03E6" w:rsidRPr="00537675">
          <w:rPr>
            <w:rFonts w:ascii="Arial" w:hAnsi="Arial" w:cs="Arial"/>
            <w:noProof/>
            <w:webHidden/>
          </w:rPr>
          <w:fldChar w:fldCharType="begin"/>
        </w:r>
        <w:r w:rsidR="00AB03E6" w:rsidRPr="00537675">
          <w:rPr>
            <w:rFonts w:ascii="Arial" w:hAnsi="Arial" w:cs="Arial"/>
            <w:noProof/>
            <w:webHidden/>
          </w:rPr>
          <w:instrText xml:space="preserve"> PAGEREF _Toc396117778 \h </w:instrText>
        </w:r>
        <w:r w:rsidR="00AB03E6" w:rsidRPr="00537675">
          <w:rPr>
            <w:rFonts w:ascii="Arial" w:hAnsi="Arial" w:cs="Arial"/>
            <w:noProof/>
            <w:webHidden/>
          </w:rPr>
        </w:r>
        <w:r w:rsidR="00AB03E6" w:rsidRPr="00537675">
          <w:rPr>
            <w:rFonts w:ascii="Arial" w:hAnsi="Arial" w:cs="Arial"/>
            <w:noProof/>
            <w:webHidden/>
          </w:rPr>
          <w:fldChar w:fldCharType="separate"/>
        </w:r>
        <w:r>
          <w:rPr>
            <w:rFonts w:ascii="Arial" w:hAnsi="Arial" w:cs="Arial"/>
            <w:noProof/>
            <w:webHidden/>
          </w:rPr>
          <w:t>4</w:t>
        </w:r>
        <w:r w:rsidR="00AB03E6" w:rsidRPr="00537675">
          <w:rPr>
            <w:rFonts w:ascii="Arial" w:hAnsi="Arial" w:cs="Arial"/>
            <w:noProof/>
            <w:webHidden/>
          </w:rPr>
          <w:fldChar w:fldCharType="end"/>
        </w:r>
      </w:hyperlink>
    </w:p>
    <w:p w:rsidR="00AB03E6" w:rsidRPr="00537675" w:rsidRDefault="00702EFF">
      <w:pPr>
        <w:pStyle w:val="TOC2"/>
        <w:rPr>
          <w:rFonts w:ascii="Arial" w:eastAsiaTheme="minorEastAsia" w:hAnsi="Arial" w:cs="Arial"/>
          <w:smallCaps w:val="0"/>
          <w:sz w:val="22"/>
          <w:szCs w:val="22"/>
          <w:lang w:val="en-NZ" w:eastAsia="en-NZ" w:bidi="ar-SA"/>
        </w:rPr>
      </w:pPr>
      <w:hyperlink w:anchor="_Toc396117779" w:history="1">
        <w:r w:rsidR="00AB03E6" w:rsidRPr="00537675">
          <w:rPr>
            <w:rStyle w:val="Hyperlink"/>
            <w:rFonts w:cs="Arial"/>
          </w:rPr>
          <w:t>2.1</w:t>
        </w:r>
        <w:r w:rsidR="00AB03E6" w:rsidRPr="00537675">
          <w:rPr>
            <w:rFonts w:ascii="Arial" w:eastAsiaTheme="minorEastAsia" w:hAnsi="Arial" w:cs="Arial"/>
            <w:smallCaps w:val="0"/>
            <w:sz w:val="22"/>
            <w:szCs w:val="22"/>
            <w:lang w:val="en-NZ" w:eastAsia="en-NZ" w:bidi="ar-SA"/>
          </w:rPr>
          <w:tab/>
        </w:r>
        <w:r w:rsidR="00AB03E6" w:rsidRPr="00537675">
          <w:rPr>
            <w:rStyle w:val="Hyperlink"/>
            <w:rFonts w:cs="Arial"/>
          </w:rPr>
          <w:t>Risk assessment</w:t>
        </w:r>
        <w:r w:rsidR="00AB03E6" w:rsidRPr="00537675">
          <w:rPr>
            <w:rFonts w:ascii="Arial" w:hAnsi="Arial" w:cs="Arial"/>
            <w:webHidden/>
          </w:rPr>
          <w:tab/>
        </w:r>
        <w:r w:rsidR="00AB03E6" w:rsidRPr="00537675">
          <w:rPr>
            <w:rFonts w:ascii="Arial" w:hAnsi="Arial" w:cs="Arial"/>
            <w:webHidden/>
          </w:rPr>
          <w:fldChar w:fldCharType="begin"/>
        </w:r>
        <w:r w:rsidR="00AB03E6" w:rsidRPr="00537675">
          <w:rPr>
            <w:rFonts w:ascii="Arial" w:hAnsi="Arial" w:cs="Arial"/>
            <w:webHidden/>
          </w:rPr>
          <w:instrText xml:space="preserve"> PAGEREF _Toc396117779 \h </w:instrText>
        </w:r>
        <w:r w:rsidR="00AB03E6" w:rsidRPr="00537675">
          <w:rPr>
            <w:rFonts w:ascii="Arial" w:hAnsi="Arial" w:cs="Arial"/>
            <w:webHidden/>
          </w:rPr>
        </w:r>
        <w:r w:rsidR="00AB03E6" w:rsidRPr="00537675">
          <w:rPr>
            <w:rFonts w:ascii="Arial" w:hAnsi="Arial" w:cs="Arial"/>
            <w:webHidden/>
          </w:rPr>
          <w:fldChar w:fldCharType="separate"/>
        </w:r>
        <w:r>
          <w:rPr>
            <w:rFonts w:ascii="Arial" w:hAnsi="Arial" w:cs="Arial"/>
            <w:webHidden/>
          </w:rPr>
          <w:t>4</w:t>
        </w:r>
        <w:r w:rsidR="00AB03E6" w:rsidRPr="00537675">
          <w:rPr>
            <w:rFonts w:ascii="Arial" w:hAnsi="Arial" w:cs="Arial"/>
            <w:webHidden/>
          </w:rPr>
          <w:fldChar w:fldCharType="end"/>
        </w:r>
      </w:hyperlink>
    </w:p>
    <w:p w:rsidR="00AB03E6" w:rsidRPr="00537675" w:rsidRDefault="00702EFF">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396117780" w:history="1">
        <w:r w:rsidR="00AB03E6" w:rsidRPr="00537675">
          <w:rPr>
            <w:rStyle w:val="Hyperlink"/>
            <w:rFonts w:cs="Arial"/>
            <w:noProof/>
          </w:rPr>
          <w:t>2.1.1</w:t>
        </w:r>
        <w:r w:rsidR="00AB03E6" w:rsidRPr="00537675">
          <w:rPr>
            <w:rFonts w:ascii="Arial" w:eastAsiaTheme="minorEastAsia" w:hAnsi="Arial" w:cs="Arial"/>
            <w:i w:val="0"/>
            <w:iCs w:val="0"/>
            <w:noProof/>
            <w:sz w:val="22"/>
            <w:szCs w:val="22"/>
            <w:lang w:val="en-NZ" w:eastAsia="en-NZ" w:bidi="ar-SA"/>
          </w:rPr>
          <w:tab/>
        </w:r>
        <w:r w:rsidR="00AB03E6" w:rsidRPr="00537675">
          <w:rPr>
            <w:rStyle w:val="Hyperlink"/>
            <w:rFonts w:cs="Arial"/>
            <w:noProof/>
          </w:rPr>
          <w:t>Technological need and efficacy of the irradiation process</w:t>
        </w:r>
        <w:r w:rsidR="00AB03E6" w:rsidRPr="00537675">
          <w:rPr>
            <w:rFonts w:ascii="Arial" w:hAnsi="Arial" w:cs="Arial"/>
            <w:noProof/>
            <w:webHidden/>
          </w:rPr>
          <w:tab/>
        </w:r>
        <w:r w:rsidR="00AB03E6" w:rsidRPr="00537675">
          <w:rPr>
            <w:rFonts w:ascii="Arial" w:hAnsi="Arial" w:cs="Arial"/>
            <w:noProof/>
            <w:webHidden/>
          </w:rPr>
          <w:fldChar w:fldCharType="begin"/>
        </w:r>
        <w:r w:rsidR="00AB03E6" w:rsidRPr="00537675">
          <w:rPr>
            <w:rFonts w:ascii="Arial" w:hAnsi="Arial" w:cs="Arial"/>
            <w:noProof/>
            <w:webHidden/>
          </w:rPr>
          <w:instrText xml:space="preserve"> PAGEREF _Toc396117780 \h </w:instrText>
        </w:r>
        <w:r w:rsidR="00AB03E6" w:rsidRPr="00537675">
          <w:rPr>
            <w:rFonts w:ascii="Arial" w:hAnsi="Arial" w:cs="Arial"/>
            <w:noProof/>
            <w:webHidden/>
          </w:rPr>
        </w:r>
        <w:r w:rsidR="00AB03E6" w:rsidRPr="00537675">
          <w:rPr>
            <w:rFonts w:ascii="Arial" w:hAnsi="Arial" w:cs="Arial"/>
            <w:noProof/>
            <w:webHidden/>
          </w:rPr>
          <w:fldChar w:fldCharType="separate"/>
        </w:r>
        <w:r>
          <w:rPr>
            <w:rFonts w:ascii="Arial" w:hAnsi="Arial" w:cs="Arial"/>
            <w:noProof/>
            <w:webHidden/>
          </w:rPr>
          <w:t>4</w:t>
        </w:r>
        <w:r w:rsidR="00AB03E6" w:rsidRPr="00537675">
          <w:rPr>
            <w:rFonts w:ascii="Arial" w:hAnsi="Arial" w:cs="Arial"/>
            <w:noProof/>
            <w:webHidden/>
          </w:rPr>
          <w:fldChar w:fldCharType="end"/>
        </w:r>
      </w:hyperlink>
    </w:p>
    <w:p w:rsidR="00AB03E6" w:rsidRPr="00537675" w:rsidRDefault="00702EFF">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396117781" w:history="1">
        <w:r w:rsidR="00AB03E6" w:rsidRPr="00537675">
          <w:rPr>
            <w:rStyle w:val="Hyperlink"/>
            <w:rFonts w:cs="Arial"/>
            <w:noProof/>
          </w:rPr>
          <w:t>2.1.2</w:t>
        </w:r>
        <w:r w:rsidR="00AB03E6" w:rsidRPr="00537675">
          <w:rPr>
            <w:rFonts w:ascii="Arial" w:eastAsiaTheme="minorEastAsia" w:hAnsi="Arial" w:cs="Arial"/>
            <w:i w:val="0"/>
            <w:iCs w:val="0"/>
            <w:noProof/>
            <w:sz w:val="22"/>
            <w:szCs w:val="22"/>
            <w:lang w:val="en-NZ" w:eastAsia="en-NZ" w:bidi="ar-SA"/>
          </w:rPr>
          <w:tab/>
        </w:r>
        <w:r w:rsidR="00AB03E6" w:rsidRPr="00537675">
          <w:rPr>
            <w:rStyle w:val="Hyperlink"/>
            <w:rFonts w:cs="Arial"/>
            <w:noProof/>
          </w:rPr>
          <w:t>Safety and nutritional content of irradiated foods</w:t>
        </w:r>
        <w:r w:rsidR="00AB03E6" w:rsidRPr="00537675">
          <w:rPr>
            <w:rFonts w:ascii="Arial" w:hAnsi="Arial" w:cs="Arial"/>
            <w:noProof/>
            <w:webHidden/>
          </w:rPr>
          <w:tab/>
        </w:r>
        <w:r w:rsidR="00AB03E6" w:rsidRPr="00537675">
          <w:rPr>
            <w:rFonts w:ascii="Arial" w:hAnsi="Arial" w:cs="Arial"/>
            <w:noProof/>
            <w:webHidden/>
          </w:rPr>
          <w:fldChar w:fldCharType="begin"/>
        </w:r>
        <w:r w:rsidR="00AB03E6" w:rsidRPr="00537675">
          <w:rPr>
            <w:rFonts w:ascii="Arial" w:hAnsi="Arial" w:cs="Arial"/>
            <w:noProof/>
            <w:webHidden/>
          </w:rPr>
          <w:instrText xml:space="preserve"> PAGEREF _Toc396117781 \h </w:instrText>
        </w:r>
        <w:r w:rsidR="00AB03E6" w:rsidRPr="00537675">
          <w:rPr>
            <w:rFonts w:ascii="Arial" w:hAnsi="Arial" w:cs="Arial"/>
            <w:noProof/>
            <w:webHidden/>
          </w:rPr>
        </w:r>
        <w:r w:rsidR="00AB03E6" w:rsidRPr="00537675">
          <w:rPr>
            <w:rFonts w:ascii="Arial" w:hAnsi="Arial" w:cs="Arial"/>
            <w:noProof/>
            <w:webHidden/>
          </w:rPr>
          <w:fldChar w:fldCharType="separate"/>
        </w:r>
        <w:r>
          <w:rPr>
            <w:rFonts w:ascii="Arial" w:hAnsi="Arial" w:cs="Arial"/>
            <w:noProof/>
            <w:webHidden/>
          </w:rPr>
          <w:t>5</w:t>
        </w:r>
        <w:r w:rsidR="00AB03E6" w:rsidRPr="00537675">
          <w:rPr>
            <w:rFonts w:ascii="Arial" w:hAnsi="Arial" w:cs="Arial"/>
            <w:noProof/>
            <w:webHidden/>
          </w:rPr>
          <w:fldChar w:fldCharType="end"/>
        </w:r>
      </w:hyperlink>
    </w:p>
    <w:p w:rsidR="00AB03E6" w:rsidRPr="00537675" w:rsidRDefault="00702EFF">
      <w:pPr>
        <w:pStyle w:val="TOC2"/>
        <w:rPr>
          <w:rFonts w:ascii="Arial" w:eastAsiaTheme="minorEastAsia" w:hAnsi="Arial" w:cs="Arial"/>
          <w:smallCaps w:val="0"/>
          <w:sz w:val="22"/>
          <w:szCs w:val="22"/>
          <w:lang w:val="en-NZ" w:eastAsia="en-NZ" w:bidi="ar-SA"/>
        </w:rPr>
      </w:pPr>
      <w:hyperlink w:anchor="_Toc396117783" w:history="1">
        <w:r w:rsidR="00AB03E6" w:rsidRPr="00537675">
          <w:rPr>
            <w:rStyle w:val="Hyperlink"/>
            <w:rFonts w:cs="Arial"/>
          </w:rPr>
          <w:t>2.2</w:t>
        </w:r>
        <w:r w:rsidR="00AB03E6" w:rsidRPr="00537675">
          <w:rPr>
            <w:rFonts w:ascii="Arial" w:eastAsiaTheme="minorEastAsia" w:hAnsi="Arial" w:cs="Arial"/>
            <w:smallCaps w:val="0"/>
            <w:sz w:val="22"/>
            <w:szCs w:val="22"/>
            <w:lang w:val="en-NZ" w:eastAsia="en-NZ" w:bidi="ar-SA"/>
          </w:rPr>
          <w:tab/>
        </w:r>
        <w:r w:rsidR="00AB03E6" w:rsidRPr="00537675">
          <w:rPr>
            <w:rStyle w:val="Hyperlink"/>
            <w:rFonts w:cs="Arial"/>
          </w:rPr>
          <w:t>Risk management</w:t>
        </w:r>
        <w:r w:rsidR="00AB03E6" w:rsidRPr="00537675">
          <w:rPr>
            <w:rFonts w:ascii="Arial" w:hAnsi="Arial" w:cs="Arial"/>
            <w:webHidden/>
          </w:rPr>
          <w:tab/>
        </w:r>
        <w:r w:rsidR="00AB03E6" w:rsidRPr="00537675">
          <w:rPr>
            <w:rFonts w:ascii="Arial" w:hAnsi="Arial" w:cs="Arial"/>
            <w:webHidden/>
          </w:rPr>
          <w:fldChar w:fldCharType="begin"/>
        </w:r>
        <w:r w:rsidR="00AB03E6" w:rsidRPr="00537675">
          <w:rPr>
            <w:rFonts w:ascii="Arial" w:hAnsi="Arial" w:cs="Arial"/>
            <w:webHidden/>
          </w:rPr>
          <w:instrText xml:space="preserve"> PAGEREF _Toc396117783 \h </w:instrText>
        </w:r>
        <w:r w:rsidR="00AB03E6" w:rsidRPr="00537675">
          <w:rPr>
            <w:rFonts w:ascii="Arial" w:hAnsi="Arial" w:cs="Arial"/>
            <w:webHidden/>
          </w:rPr>
        </w:r>
        <w:r w:rsidR="00AB03E6" w:rsidRPr="00537675">
          <w:rPr>
            <w:rFonts w:ascii="Arial" w:hAnsi="Arial" w:cs="Arial"/>
            <w:webHidden/>
          </w:rPr>
          <w:fldChar w:fldCharType="separate"/>
        </w:r>
        <w:r>
          <w:rPr>
            <w:rFonts w:ascii="Arial" w:hAnsi="Arial" w:cs="Arial"/>
            <w:webHidden/>
          </w:rPr>
          <w:t>6</w:t>
        </w:r>
        <w:r w:rsidR="00AB03E6" w:rsidRPr="00537675">
          <w:rPr>
            <w:rFonts w:ascii="Arial" w:hAnsi="Arial" w:cs="Arial"/>
            <w:webHidden/>
          </w:rPr>
          <w:fldChar w:fldCharType="end"/>
        </w:r>
      </w:hyperlink>
    </w:p>
    <w:p w:rsidR="00AB03E6" w:rsidRPr="00537675" w:rsidRDefault="00702EFF">
      <w:pPr>
        <w:pStyle w:val="TOC2"/>
        <w:rPr>
          <w:rFonts w:ascii="Arial" w:eastAsiaTheme="minorEastAsia" w:hAnsi="Arial" w:cs="Arial"/>
          <w:smallCaps w:val="0"/>
          <w:sz w:val="22"/>
          <w:szCs w:val="22"/>
          <w:lang w:val="en-NZ" w:eastAsia="en-NZ" w:bidi="ar-SA"/>
        </w:rPr>
      </w:pPr>
      <w:hyperlink w:anchor="_Toc396117784" w:history="1">
        <w:r w:rsidR="00AB03E6" w:rsidRPr="00537675">
          <w:rPr>
            <w:rStyle w:val="Hyperlink"/>
            <w:rFonts w:cs="Arial"/>
          </w:rPr>
          <w:t>2.3</w:t>
        </w:r>
        <w:r w:rsidR="00AB03E6" w:rsidRPr="00537675">
          <w:rPr>
            <w:rFonts w:ascii="Arial" w:eastAsiaTheme="minorEastAsia" w:hAnsi="Arial" w:cs="Arial"/>
            <w:smallCaps w:val="0"/>
            <w:sz w:val="22"/>
            <w:szCs w:val="22"/>
            <w:lang w:val="en-NZ" w:eastAsia="en-NZ" w:bidi="ar-SA"/>
          </w:rPr>
          <w:tab/>
        </w:r>
        <w:r w:rsidR="00AB03E6" w:rsidRPr="00537675">
          <w:rPr>
            <w:rStyle w:val="Hyperlink"/>
            <w:rFonts w:cs="Arial"/>
          </w:rPr>
          <w:t>Risk communication</w:t>
        </w:r>
        <w:r w:rsidR="00AB03E6" w:rsidRPr="00537675">
          <w:rPr>
            <w:rFonts w:ascii="Arial" w:hAnsi="Arial" w:cs="Arial"/>
            <w:webHidden/>
          </w:rPr>
          <w:tab/>
        </w:r>
        <w:r w:rsidR="00AB03E6" w:rsidRPr="00537675">
          <w:rPr>
            <w:rFonts w:ascii="Arial" w:hAnsi="Arial" w:cs="Arial"/>
            <w:webHidden/>
          </w:rPr>
          <w:fldChar w:fldCharType="begin"/>
        </w:r>
        <w:r w:rsidR="00AB03E6" w:rsidRPr="00537675">
          <w:rPr>
            <w:rFonts w:ascii="Arial" w:hAnsi="Arial" w:cs="Arial"/>
            <w:webHidden/>
          </w:rPr>
          <w:instrText xml:space="preserve"> PAGEREF _Toc396117784 \h </w:instrText>
        </w:r>
        <w:r w:rsidR="00AB03E6" w:rsidRPr="00537675">
          <w:rPr>
            <w:rFonts w:ascii="Arial" w:hAnsi="Arial" w:cs="Arial"/>
            <w:webHidden/>
          </w:rPr>
        </w:r>
        <w:r w:rsidR="00AB03E6" w:rsidRPr="00537675">
          <w:rPr>
            <w:rFonts w:ascii="Arial" w:hAnsi="Arial" w:cs="Arial"/>
            <w:webHidden/>
          </w:rPr>
          <w:fldChar w:fldCharType="separate"/>
        </w:r>
        <w:r>
          <w:rPr>
            <w:rFonts w:ascii="Arial" w:hAnsi="Arial" w:cs="Arial"/>
            <w:webHidden/>
          </w:rPr>
          <w:t>6</w:t>
        </w:r>
        <w:r w:rsidR="00AB03E6" w:rsidRPr="00537675">
          <w:rPr>
            <w:rFonts w:ascii="Arial" w:hAnsi="Arial" w:cs="Arial"/>
            <w:webHidden/>
          </w:rPr>
          <w:fldChar w:fldCharType="end"/>
        </w:r>
      </w:hyperlink>
    </w:p>
    <w:p w:rsidR="00AB03E6" w:rsidRPr="00537675" w:rsidRDefault="00702EFF">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396117785" w:history="1">
        <w:r w:rsidR="00AB03E6" w:rsidRPr="00537675">
          <w:rPr>
            <w:rStyle w:val="Hyperlink"/>
            <w:rFonts w:cs="Arial"/>
            <w:noProof/>
          </w:rPr>
          <w:t>2.3.1</w:t>
        </w:r>
        <w:r w:rsidR="00AB03E6" w:rsidRPr="00537675">
          <w:rPr>
            <w:rFonts w:ascii="Arial" w:eastAsiaTheme="minorEastAsia" w:hAnsi="Arial" w:cs="Arial"/>
            <w:i w:val="0"/>
            <w:iCs w:val="0"/>
            <w:noProof/>
            <w:sz w:val="22"/>
            <w:szCs w:val="22"/>
            <w:lang w:val="en-NZ" w:eastAsia="en-NZ" w:bidi="ar-SA"/>
          </w:rPr>
          <w:tab/>
        </w:r>
        <w:r w:rsidR="00AB03E6" w:rsidRPr="00537675">
          <w:rPr>
            <w:rStyle w:val="Hyperlink"/>
            <w:rFonts w:cs="Arial"/>
            <w:noProof/>
          </w:rPr>
          <w:t>Consultation</w:t>
        </w:r>
        <w:r w:rsidR="00AB03E6" w:rsidRPr="00537675">
          <w:rPr>
            <w:rFonts w:ascii="Arial" w:hAnsi="Arial" w:cs="Arial"/>
            <w:noProof/>
            <w:webHidden/>
          </w:rPr>
          <w:tab/>
        </w:r>
        <w:r w:rsidR="00AB03E6" w:rsidRPr="00537675">
          <w:rPr>
            <w:rFonts w:ascii="Arial" w:hAnsi="Arial" w:cs="Arial"/>
            <w:noProof/>
            <w:webHidden/>
          </w:rPr>
          <w:fldChar w:fldCharType="begin"/>
        </w:r>
        <w:r w:rsidR="00AB03E6" w:rsidRPr="00537675">
          <w:rPr>
            <w:rFonts w:ascii="Arial" w:hAnsi="Arial" w:cs="Arial"/>
            <w:noProof/>
            <w:webHidden/>
          </w:rPr>
          <w:instrText xml:space="preserve"> PAGEREF _Toc396117785 \h </w:instrText>
        </w:r>
        <w:r w:rsidR="00AB03E6" w:rsidRPr="00537675">
          <w:rPr>
            <w:rFonts w:ascii="Arial" w:hAnsi="Arial" w:cs="Arial"/>
            <w:noProof/>
            <w:webHidden/>
          </w:rPr>
        </w:r>
        <w:r w:rsidR="00AB03E6" w:rsidRPr="00537675">
          <w:rPr>
            <w:rFonts w:ascii="Arial" w:hAnsi="Arial" w:cs="Arial"/>
            <w:noProof/>
            <w:webHidden/>
          </w:rPr>
          <w:fldChar w:fldCharType="separate"/>
        </w:r>
        <w:r>
          <w:rPr>
            <w:rFonts w:ascii="Arial" w:hAnsi="Arial" w:cs="Arial"/>
            <w:noProof/>
            <w:webHidden/>
          </w:rPr>
          <w:t>6</w:t>
        </w:r>
        <w:r w:rsidR="00AB03E6" w:rsidRPr="00537675">
          <w:rPr>
            <w:rFonts w:ascii="Arial" w:hAnsi="Arial" w:cs="Arial"/>
            <w:noProof/>
            <w:webHidden/>
          </w:rPr>
          <w:fldChar w:fldCharType="end"/>
        </w:r>
      </w:hyperlink>
    </w:p>
    <w:p w:rsidR="00AB03E6" w:rsidRPr="00537675" w:rsidRDefault="00702EFF">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396117786" w:history="1">
        <w:r w:rsidR="00AB03E6" w:rsidRPr="00537675">
          <w:rPr>
            <w:rStyle w:val="Hyperlink"/>
            <w:rFonts w:cs="Arial"/>
            <w:noProof/>
          </w:rPr>
          <w:t>2.3.2</w:t>
        </w:r>
        <w:r w:rsidR="00AB03E6" w:rsidRPr="00537675">
          <w:rPr>
            <w:rFonts w:ascii="Arial" w:eastAsiaTheme="minorEastAsia" w:hAnsi="Arial" w:cs="Arial"/>
            <w:i w:val="0"/>
            <w:iCs w:val="0"/>
            <w:noProof/>
            <w:sz w:val="22"/>
            <w:szCs w:val="22"/>
            <w:lang w:val="en-NZ" w:eastAsia="en-NZ" w:bidi="ar-SA"/>
          </w:rPr>
          <w:tab/>
        </w:r>
        <w:r w:rsidR="00AB03E6" w:rsidRPr="00537675">
          <w:rPr>
            <w:rStyle w:val="Hyperlink"/>
            <w:rFonts w:cs="Arial"/>
            <w:noProof/>
          </w:rPr>
          <w:t>World Trade Organization (WTO)</w:t>
        </w:r>
        <w:r w:rsidR="00AB03E6" w:rsidRPr="00537675">
          <w:rPr>
            <w:rFonts w:ascii="Arial" w:hAnsi="Arial" w:cs="Arial"/>
            <w:noProof/>
            <w:webHidden/>
          </w:rPr>
          <w:tab/>
        </w:r>
        <w:r w:rsidR="00AB03E6" w:rsidRPr="00537675">
          <w:rPr>
            <w:rFonts w:ascii="Arial" w:hAnsi="Arial" w:cs="Arial"/>
            <w:noProof/>
            <w:webHidden/>
          </w:rPr>
          <w:fldChar w:fldCharType="begin"/>
        </w:r>
        <w:r w:rsidR="00AB03E6" w:rsidRPr="00537675">
          <w:rPr>
            <w:rFonts w:ascii="Arial" w:hAnsi="Arial" w:cs="Arial"/>
            <w:noProof/>
            <w:webHidden/>
          </w:rPr>
          <w:instrText xml:space="preserve"> PAGEREF _Toc396117786 \h </w:instrText>
        </w:r>
        <w:r w:rsidR="00AB03E6" w:rsidRPr="00537675">
          <w:rPr>
            <w:rFonts w:ascii="Arial" w:hAnsi="Arial" w:cs="Arial"/>
            <w:noProof/>
            <w:webHidden/>
          </w:rPr>
        </w:r>
        <w:r w:rsidR="00AB03E6" w:rsidRPr="00537675">
          <w:rPr>
            <w:rFonts w:ascii="Arial" w:hAnsi="Arial" w:cs="Arial"/>
            <w:noProof/>
            <w:webHidden/>
          </w:rPr>
          <w:fldChar w:fldCharType="separate"/>
        </w:r>
        <w:r>
          <w:rPr>
            <w:rFonts w:ascii="Arial" w:hAnsi="Arial" w:cs="Arial"/>
            <w:noProof/>
            <w:webHidden/>
          </w:rPr>
          <w:t>7</w:t>
        </w:r>
        <w:r w:rsidR="00AB03E6" w:rsidRPr="00537675">
          <w:rPr>
            <w:rFonts w:ascii="Arial" w:hAnsi="Arial" w:cs="Arial"/>
            <w:noProof/>
            <w:webHidden/>
          </w:rPr>
          <w:fldChar w:fldCharType="end"/>
        </w:r>
      </w:hyperlink>
    </w:p>
    <w:p w:rsidR="00AB03E6" w:rsidRPr="00537675" w:rsidRDefault="00702EFF">
      <w:pPr>
        <w:pStyle w:val="TOC2"/>
        <w:rPr>
          <w:rFonts w:ascii="Arial" w:eastAsiaTheme="minorEastAsia" w:hAnsi="Arial" w:cs="Arial"/>
          <w:smallCaps w:val="0"/>
          <w:sz w:val="22"/>
          <w:szCs w:val="22"/>
          <w:lang w:val="en-NZ" w:eastAsia="en-NZ" w:bidi="ar-SA"/>
        </w:rPr>
      </w:pPr>
      <w:hyperlink w:anchor="_Toc396117787" w:history="1">
        <w:r w:rsidR="00AB03E6" w:rsidRPr="00537675">
          <w:rPr>
            <w:rStyle w:val="Hyperlink"/>
            <w:rFonts w:cs="Arial"/>
          </w:rPr>
          <w:t>2.4</w:t>
        </w:r>
        <w:r w:rsidR="00AB03E6" w:rsidRPr="00537675">
          <w:rPr>
            <w:rFonts w:ascii="Arial" w:eastAsiaTheme="minorEastAsia" w:hAnsi="Arial" w:cs="Arial"/>
            <w:smallCaps w:val="0"/>
            <w:sz w:val="22"/>
            <w:szCs w:val="22"/>
            <w:lang w:val="en-NZ" w:eastAsia="en-NZ" w:bidi="ar-SA"/>
          </w:rPr>
          <w:tab/>
        </w:r>
        <w:r w:rsidR="00AB03E6" w:rsidRPr="00537675">
          <w:rPr>
            <w:rStyle w:val="Hyperlink"/>
            <w:rFonts w:cs="Arial"/>
          </w:rPr>
          <w:t>FSANZ Act assessment requirements</w:t>
        </w:r>
        <w:r w:rsidR="00AB03E6" w:rsidRPr="00537675">
          <w:rPr>
            <w:rFonts w:ascii="Arial" w:hAnsi="Arial" w:cs="Arial"/>
            <w:webHidden/>
          </w:rPr>
          <w:tab/>
        </w:r>
        <w:r w:rsidR="00AB03E6" w:rsidRPr="00537675">
          <w:rPr>
            <w:rFonts w:ascii="Arial" w:hAnsi="Arial" w:cs="Arial"/>
            <w:webHidden/>
          </w:rPr>
          <w:fldChar w:fldCharType="begin"/>
        </w:r>
        <w:r w:rsidR="00AB03E6" w:rsidRPr="00537675">
          <w:rPr>
            <w:rFonts w:ascii="Arial" w:hAnsi="Arial" w:cs="Arial"/>
            <w:webHidden/>
          </w:rPr>
          <w:instrText xml:space="preserve"> PAGEREF _Toc396117787 \h </w:instrText>
        </w:r>
        <w:r w:rsidR="00AB03E6" w:rsidRPr="00537675">
          <w:rPr>
            <w:rFonts w:ascii="Arial" w:hAnsi="Arial" w:cs="Arial"/>
            <w:webHidden/>
          </w:rPr>
        </w:r>
        <w:r w:rsidR="00AB03E6" w:rsidRPr="00537675">
          <w:rPr>
            <w:rFonts w:ascii="Arial" w:hAnsi="Arial" w:cs="Arial"/>
            <w:webHidden/>
          </w:rPr>
          <w:fldChar w:fldCharType="separate"/>
        </w:r>
        <w:r>
          <w:rPr>
            <w:rFonts w:ascii="Arial" w:hAnsi="Arial" w:cs="Arial"/>
            <w:webHidden/>
          </w:rPr>
          <w:t>7</w:t>
        </w:r>
        <w:r w:rsidR="00AB03E6" w:rsidRPr="00537675">
          <w:rPr>
            <w:rFonts w:ascii="Arial" w:hAnsi="Arial" w:cs="Arial"/>
            <w:webHidden/>
          </w:rPr>
          <w:fldChar w:fldCharType="end"/>
        </w:r>
      </w:hyperlink>
    </w:p>
    <w:p w:rsidR="00AB03E6" w:rsidRPr="00537675" w:rsidRDefault="00702EFF">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396117788" w:history="1">
        <w:r w:rsidR="00AB03E6" w:rsidRPr="00537675">
          <w:rPr>
            <w:rStyle w:val="Hyperlink"/>
            <w:rFonts w:cs="Arial"/>
            <w:noProof/>
          </w:rPr>
          <w:t>2.4.1</w:t>
        </w:r>
        <w:r w:rsidR="00AB03E6" w:rsidRPr="00537675">
          <w:rPr>
            <w:rFonts w:ascii="Arial" w:eastAsiaTheme="minorEastAsia" w:hAnsi="Arial" w:cs="Arial"/>
            <w:i w:val="0"/>
            <w:iCs w:val="0"/>
            <w:noProof/>
            <w:sz w:val="22"/>
            <w:szCs w:val="22"/>
            <w:lang w:val="en-NZ" w:eastAsia="en-NZ" w:bidi="ar-SA"/>
          </w:rPr>
          <w:tab/>
        </w:r>
        <w:r w:rsidR="00AB03E6" w:rsidRPr="00537675">
          <w:rPr>
            <w:rStyle w:val="Hyperlink"/>
            <w:rFonts w:cs="Arial"/>
            <w:noProof/>
          </w:rPr>
          <w:t>Section 29</w:t>
        </w:r>
        <w:r w:rsidR="00AB03E6" w:rsidRPr="00537675">
          <w:rPr>
            <w:rFonts w:ascii="Arial" w:hAnsi="Arial" w:cs="Arial"/>
            <w:noProof/>
            <w:webHidden/>
          </w:rPr>
          <w:tab/>
        </w:r>
        <w:r w:rsidR="00AB03E6" w:rsidRPr="00537675">
          <w:rPr>
            <w:rFonts w:ascii="Arial" w:hAnsi="Arial" w:cs="Arial"/>
            <w:noProof/>
            <w:webHidden/>
          </w:rPr>
          <w:fldChar w:fldCharType="begin"/>
        </w:r>
        <w:r w:rsidR="00AB03E6" w:rsidRPr="00537675">
          <w:rPr>
            <w:rFonts w:ascii="Arial" w:hAnsi="Arial" w:cs="Arial"/>
            <w:noProof/>
            <w:webHidden/>
          </w:rPr>
          <w:instrText xml:space="preserve"> PAGEREF _Toc396117788 \h </w:instrText>
        </w:r>
        <w:r w:rsidR="00AB03E6" w:rsidRPr="00537675">
          <w:rPr>
            <w:rFonts w:ascii="Arial" w:hAnsi="Arial" w:cs="Arial"/>
            <w:noProof/>
            <w:webHidden/>
          </w:rPr>
        </w:r>
        <w:r w:rsidR="00AB03E6" w:rsidRPr="00537675">
          <w:rPr>
            <w:rFonts w:ascii="Arial" w:hAnsi="Arial" w:cs="Arial"/>
            <w:noProof/>
            <w:webHidden/>
          </w:rPr>
          <w:fldChar w:fldCharType="separate"/>
        </w:r>
        <w:r>
          <w:rPr>
            <w:rFonts w:ascii="Arial" w:hAnsi="Arial" w:cs="Arial"/>
            <w:noProof/>
            <w:webHidden/>
          </w:rPr>
          <w:t>7</w:t>
        </w:r>
        <w:r w:rsidR="00AB03E6" w:rsidRPr="00537675">
          <w:rPr>
            <w:rFonts w:ascii="Arial" w:hAnsi="Arial" w:cs="Arial"/>
            <w:noProof/>
            <w:webHidden/>
          </w:rPr>
          <w:fldChar w:fldCharType="end"/>
        </w:r>
      </w:hyperlink>
    </w:p>
    <w:p w:rsidR="00AB03E6" w:rsidRPr="00537675" w:rsidRDefault="00702EFF">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396117789" w:history="1">
        <w:r w:rsidR="00AB03E6" w:rsidRPr="00537675">
          <w:rPr>
            <w:rStyle w:val="Hyperlink"/>
            <w:rFonts w:cs="Arial"/>
            <w:noProof/>
          </w:rPr>
          <w:t>2.4.2</w:t>
        </w:r>
        <w:r w:rsidR="00AB03E6" w:rsidRPr="00537675">
          <w:rPr>
            <w:rFonts w:ascii="Arial" w:eastAsiaTheme="minorEastAsia" w:hAnsi="Arial" w:cs="Arial"/>
            <w:i w:val="0"/>
            <w:iCs w:val="0"/>
            <w:noProof/>
            <w:sz w:val="22"/>
            <w:szCs w:val="22"/>
            <w:lang w:val="en-NZ" w:eastAsia="en-NZ" w:bidi="ar-SA"/>
          </w:rPr>
          <w:tab/>
        </w:r>
        <w:r w:rsidR="00AB03E6" w:rsidRPr="00537675">
          <w:rPr>
            <w:rStyle w:val="Hyperlink"/>
            <w:rFonts w:cs="Arial"/>
            <w:noProof/>
          </w:rPr>
          <w:t>Subsection 18(1)</w:t>
        </w:r>
        <w:r w:rsidR="00AB03E6" w:rsidRPr="00537675">
          <w:rPr>
            <w:rFonts w:ascii="Arial" w:hAnsi="Arial" w:cs="Arial"/>
            <w:noProof/>
            <w:webHidden/>
          </w:rPr>
          <w:tab/>
        </w:r>
        <w:r w:rsidR="00AB03E6" w:rsidRPr="00537675">
          <w:rPr>
            <w:rFonts w:ascii="Arial" w:hAnsi="Arial" w:cs="Arial"/>
            <w:noProof/>
            <w:webHidden/>
          </w:rPr>
          <w:fldChar w:fldCharType="begin"/>
        </w:r>
        <w:r w:rsidR="00AB03E6" w:rsidRPr="00537675">
          <w:rPr>
            <w:rFonts w:ascii="Arial" w:hAnsi="Arial" w:cs="Arial"/>
            <w:noProof/>
            <w:webHidden/>
          </w:rPr>
          <w:instrText xml:space="preserve"> PAGEREF _Toc396117789 \h </w:instrText>
        </w:r>
        <w:r w:rsidR="00AB03E6" w:rsidRPr="00537675">
          <w:rPr>
            <w:rFonts w:ascii="Arial" w:hAnsi="Arial" w:cs="Arial"/>
            <w:noProof/>
            <w:webHidden/>
          </w:rPr>
        </w:r>
        <w:r w:rsidR="00AB03E6" w:rsidRPr="00537675">
          <w:rPr>
            <w:rFonts w:ascii="Arial" w:hAnsi="Arial" w:cs="Arial"/>
            <w:noProof/>
            <w:webHidden/>
          </w:rPr>
          <w:fldChar w:fldCharType="separate"/>
        </w:r>
        <w:r>
          <w:rPr>
            <w:rFonts w:ascii="Arial" w:hAnsi="Arial" w:cs="Arial"/>
            <w:noProof/>
            <w:webHidden/>
          </w:rPr>
          <w:t>12</w:t>
        </w:r>
        <w:r w:rsidR="00AB03E6" w:rsidRPr="00537675">
          <w:rPr>
            <w:rFonts w:ascii="Arial" w:hAnsi="Arial" w:cs="Arial"/>
            <w:noProof/>
            <w:webHidden/>
          </w:rPr>
          <w:fldChar w:fldCharType="end"/>
        </w:r>
      </w:hyperlink>
    </w:p>
    <w:p w:rsidR="00AB03E6" w:rsidRPr="00537675" w:rsidRDefault="00702EFF">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396117790" w:history="1">
        <w:r w:rsidR="00AB03E6" w:rsidRPr="00537675">
          <w:rPr>
            <w:rStyle w:val="Hyperlink"/>
            <w:rFonts w:cs="Arial"/>
            <w:noProof/>
          </w:rPr>
          <w:t>2.4.3</w:t>
        </w:r>
        <w:r w:rsidR="00AB03E6" w:rsidRPr="00537675">
          <w:rPr>
            <w:rFonts w:ascii="Arial" w:eastAsiaTheme="minorEastAsia" w:hAnsi="Arial" w:cs="Arial"/>
            <w:i w:val="0"/>
            <w:iCs w:val="0"/>
            <w:noProof/>
            <w:sz w:val="22"/>
            <w:szCs w:val="22"/>
            <w:lang w:val="en-NZ" w:eastAsia="en-NZ" w:bidi="ar-SA"/>
          </w:rPr>
          <w:tab/>
        </w:r>
        <w:r w:rsidR="00AB03E6" w:rsidRPr="00537675">
          <w:rPr>
            <w:rStyle w:val="Hyperlink"/>
            <w:rFonts w:cs="Arial"/>
            <w:noProof/>
          </w:rPr>
          <w:t>Subsection 18(2) considerations</w:t>
        </w:r>
        <w:r w:rsidR="00AB03E6" w:rsidRPr="00537675">
          <w:rPr>
            <w:rFonts w:ascii="Arial" w:hAnsi="Arial" w:cs="Arial"/>
            <w:noProof/>
            <w:webHidden/>
          </w:rPr>
          <w:tab/>
        </w:r>
        <w:r w:rsidR="00AB03E6" w:rsidRPr="00537675">
          <w:rPr>
            <w:rFonts w:ascii="Arial" w:hAnsi="Arial" w:cs="Arial"/>
            <w:noProof/>
            <w:webHidden/>
          </w:rPr>
          <w:fldChar w:fldCharType="begin"/>
        </w:r>
        <w:r w:rsidR="00AB03E6" w:rsidRPr="00537675">
          <w:rPr>
            <w:rFonts w:ascii="Arial" w:hAnsi="Arial" w:cs="Arial"/>
            <w:noProof/>
            <w:webHidden/>
          </w:rPr>
          <w:instrText xml:space="preserve"> PAGEREF _Toc396117790 \h </w:instrText>
        </w:r>
        <w:r w:rsidR="00AB03E6" w:rsidRPr="00537675">
          <w:rPr>
            <w:rFonts w:ascii="Arial" w:hAnsi="Arial" w:cs="Arial"/>
            <w:noProof/>
            <w:webHidden/>
          </w:rPr>
        </w:r>
        <w:r w:rsidR="00AB03E6" w:rsidRPr="00537675">
          <w:rPr>
            <w:rFonts w:ascii="Arial" w:hAnsi="Arial" w:cs="Arial"/>
            <w:noProof/>
            <w:webHidden/>
          </w:rPr>
          <w:fldChar w:fldCharType="separate"/>
        </w:r>
        <w:r>
          <w:rPr>
            <w:rFonts w:ascii="Arial" w:hAnsi="Arial" w:cs="Arial"/>
            <w:noProof/>
            <w:webHidden/>
          </w:rPr>
          <w:t>12</w:t>
        </w:r>
        <w:r w:rsidR="00AB03E6" w:rsidRPr="00537675">
          <w:rPr>
            <w:rFonts w:ascii="Arial" w:hAnsi="Arial" w:cs="Arial"/>
            <w:noProof/>
            <w:webHidden/>
          </w:rPr>
          <w:fldChar w:fldCharType="end"/>
        </w:r>
      </w:hyperlink>
    </w:p>
    <w:p w:rsidR="00AB03E6" w:rsidRPr="00537675" w:rsidRDefault="00702EFF">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396117791" w:history="1">
        <w:r w:rsidR="00AB03E6" w:rsidRPr="00537675">
          <w:rPr>
            <w:rStyle w:val="Hyperlink"/>
            <w:rFonts w:cs="Arial"/>
            <w:noProof/>
          </w:rPr>
          <w:t>3</w:t>
        </w:r>
        <w:r w:rsidR="00AB03E6" w:rsidRPr="00537675">
          <w:rPr>
            <w:rFonts w:ascii="Arial" w:eastAsiaTheme="minorEastAsia" w:hAnsi="Arial" w:cs="Arial"/>
            <w:b w:val="0"/>
            <w:bCs w:val="0"/>
            <w:caps w:val="0"/>
            <w:noProof/>
            <w:sz w:val="22"/>
            <w:szCs w:val="22"/>
            <w:lang w:val="en-NZ" w:eastAsia="en-NZ" w:bidi="ar-SA"/>
          </w:rPr>
          <w:tab/>
        </w:r>
        <w:r w:rsidR="00AB03E6" w:rsidRPr="00537675">
          <w:rPr>
            <w:rStyle w:val="Hyperlink"/>
            <w:rFonts w:cs="Arial"/>
            <w:noProof/>
          </w:rPr>
          <w:t>Draft variations</w:t>
        </w:r>
        <w:r w:rsidR="00AB03E6" w:rsidRPr="00537675">
          <w:rPr>
            <w:rFonts w:ascii="Arial" w:hAnsi="Arial" w:cs="Arial"/>
            <w:noProof/>
            <w:webHidden/>
          </w:rPr>
          <w:tab/>
        </w:r>
        <w:r w:rsidR="00AB03E6" w:rsidRPr="00537675">
          <w:rPr>
            <w:rFonts w:ascii="Arial" w:hAnsi="Arial" w:cs="Arial"/>
            <w:noProof/>
            <w:webHidden/>
          </w:rPr>
          <w:fldChar w:fldCharType="begin"/>
        </w:r>
        <w:r w:rsidR="00AB03E6" w:rsidRPr="00537675">
          <w:rPr>
            <w:rFonts w:ascii="Arial" w:hAnsi="Arial" w:cs="Arial"/>
            <w:noProof/>
            <w:webHidden/>
          </w:rPr>
          <w:instrText xml:space="preserve"> PAGEREF _Toc396117791 \h </w:instrText>
        </w:r>
        <w:r w:rsidR="00AB03E6" w:rsidRPr="00537675">
          <w:rPr>
            <w:rFonts w:ascii="Arial" w:hAnsi="Arial" w:cs="Arial"/>
            <w:noProof/>
            <w:webHidden/>
          </w:rPr>
        </w:r>
        <w:r w:rsidR="00AB03E6" w:rsidRPr="00537675">
          <w:rPr>
            <w:rFonts w:ascii="Arial" w:hAnsi="Arial" w:cs="Arial"/>
            <w:noProof/>
            <w:webHidden/>
          </w:rPr>
          <w:fldChar w:fldCharType="separate"/>
        </w:r>
        <w:r>
          <w:rPr>
            <w:rFonts w:ascii="Arial" w:hAnsi="Arial" w:cs="Arial"/>
            <w:noProof/>
            <w:webHidden/>
          </w:rPr>
          <w:t>13</w:t>
        </w:r>
        <w:r w:rsidR="00AB03E6" w:rsidRPr="00537675">
          <w:rPr>
            <w:rFonts w:ascii="Arial" w:hAnsi="Arial" w:cs="Arial"/>
            <w:noProof/>
            <w:webHidden/>
          </w:rPr>
          <w:fldChar w:fldCharType="end"/>
        </w:r>
      </w:hyperlink>
    </w:p>
    <w:p w:rsidR="00AB03E6" w:rsidRPr="00537675" w:rsidRDefault="00702EFF">
      <w:pPr>
        <w:pStyle w:val="TOC2"/>
        <w:rPr>
          <w:rFonts w:ascii="Arial" w:eastAsiaTheme="minorEastAsia" w:hAnsi="Arial" w:cs="Arial"/>
          <w:smallCaps w:val="0"/>
          <w:sz w:val="22"/>
          <w:szCs w:val="22"/>
          <w:lang w:val="en-NZ" w:eastAsia="en-NZ" w:bidi="ar-SA"/>
        </w:rPr>
      </w:pPr>
      <w:hyperlink w:anchor="_Toc396117792" w:history="1">
        <w:r w:rsidR="00AB03E6" w:rsidRPr="00537675">
          <w:rPr>
            <w:rStyle w:val="Hyperlink"/>
            <w:rFonts w:cs="Arial"/>
          </w:rPr>
          <w:t>3.1</w:t>
        </w:r>
        <w:r w:rsidR="00AB03E6" w:rsidRPr="00537675">
          <w:rPr>
            <w:rFonts w:ascii="Arial" w:eastAsiaTheme="minorEastAsia" w:hAnsi="Arial" w:cs="Arial"/>
            <w:smallCaps w:val="0"/>
            <w:sz w:val="22"/>
            <w:szCs w:val="22"/>
            <w:lang w:val="en-NZ" w:eastAsia="en-NZ" w:bidi="ar-SA"/>
          </w:rPr>
          <w:tab/>
        </w:r>
        <w:r w:rsidR="00AB03E6" w:rsidRPr="00537675">
          <w:rPr>
            <w:rStyle w:val="Hyperlink"/>
            <w:rFonts w:cs="Arial"/>
          </w:rPr>
          <w:t>Transitional arrangements</w:t>
        </w:r>
        <w:r w:rsidR="00AB03E6" w:rsidRPr="00537675">
          <w:rPr>
            <w:rFonts w:ascii="Arial" w:hAnsi="Arial" w:cs="Arial"/>
            <w:webHidden/>
          </w:rPr>
          <w:tab/>
        </w:r>
        <w:r w:rsidR="00AB03E6" w:rsidRPr="00537675">
          <w:rPr>
            <w:rFonts w:ascii="Arial" w:hAnsi="Arial" w:cs="Arial"/>
            <w:webHidden/>
          </w:rPr>
          <w:fldChar w:fldCharType="begin"/>
        </w:r>
        <w:r w:rsidR="00AB03E6" w:rsidRPr="00537675">
          <w:rPr>
            <w:rFonts w:ascii="Arial" w:hAnsi="Arial" w:cs="Arial"/>
            <w:webHidden/>
          </w:rPr>
          <w:instrText xml:space="preserve"> PAGEREF _Toc396117792 \h </w:instrText>
        </w:r>
        <w:r w:rsidR="00AB03E6" w:rsidRPr="00537675">
          <w:rPr>
            <w:rFonts w:ascii="Arial" w:hAnsi="Arial" w:cs="Arial"/>
            <w:webHidden/>
          </w:rPr>
        </w:r>
        <w:r w:rsidR="00AB03E6" w:rsidRPr="00537675">
          <w:rPr>
            <w:rFonts w:ascii="Arial" w:hAnsi="Arial" w:cs="Arial"/>
            <w:webHidden/>
          </w:rPr>
          <w:fldChar w:fldCharType="separate"/>
        </w:r>
        <w:r>
          <w:rPr>
            <w:rFonts w:ascii="Arial" w:hAnsi="Arial" w:cs="Arial"/>
            <w:webHidden/>
          </w:rPr>
          <w:t>13</w:t>
        </w:r>
        <w:r w:rsidR="00AB03E6" w:rsidRPr="00537675">
          <w:rPr>
            <w:rFonts w:ascii="Arial" w:hAnsi="Arial" w:cs="Arial"/>
            <w:webHidden/>
          </w:rPr>
          <w:fldChar w:fldCharType="end"/>
        </w:r>
      </w:hyperlink>
    </w:p>
    <w:p w:rsidR="00AB03E6" w:rsidRPr="00537675" w:rsidRDefault="00702EFF">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396117793" w:history="1">
        <w:r w:rsidR="00AB03E6" w:rsidRPr="00537675">
          <w:rPr>
            <w:rStyle w:val="Hyperlink"/>
            <w:rFonts w:cs="Arial"/>
            <w:noProof/>
          </w:rPr>
          <w:t>4</w:t>
        </w:r>
        <w:r w:rsidR="00AB03E6" w:rsidRPr="00537675">
          <w:rPr>
            <w:rFonts w:ascii="Arial" w:eastAsiaTheme="minorEastAsia" w:hAnsi="Arial" w:cs="Arial"/>
            <w:b w:val="0"/>
            <w:bCs w:val="0"/>
            <w:caps w:val="0"/>
            <w:noProof/>
            <w:sz w:val="22"/>
            <w:szCs w:val="22"/>
            <w:lang w:val="en-NZ" w:eastAsia="en-NZ" w:bidi="ar-SA"/>
          </w:rPr>
          <w:tab/>
        </w:r>
        <w:r w:rsidR="00AB03E6" w:rsidRPr="00537675">
          <w:rPr>
            <w:rStyle w:val="Hyperlink"/>
            <w:rFonts w:cs="Arial"/>
            <w:noProof/>
          </w:rPr>
          <w:t>References</w:t>
        </w:r>
        <w:r w:rsidR="00AB03E6" w:rsidRPr="00537675">
          <w:rPr>
            <w:rFonts w:ascii="Arial" w:hAnsi="Arial" w:cs="Arial"/>
            <w:noProof/>
            <w:webHidden/>
          </w:rPr>
          <w:tab/>
        </w:r>
        <w:r w:rsidR="00AB03E6" w:rsidRPr="00537675">
          <w:rPr>
            <w:rFonts w:ascii="Arial" w:hAnsi="Arial" w:cs="Arial"/>
            <w:noProof/>
            <w:webHidden/>
          </w:rPr>
          <w:fldChar w:fldCharType="begin"/>
        </w:r>
        <w:r w:rsidR="00AB03E6" w:rsidRPr="00537675">
          <w:rPr>
            <w:rFonts w:ascii="Arial" w:hAnsi="Arial" w:cs="Arial"/>
            <w:noProof/>
            <w:webHidden/>
          </w:rPr>
          <w:instrText xml:space="preserve"> PAGEREF _Toc396117793 \h </w:instrText>
        </w:r>
        <w:r w:rsidR="00AB03E6" w:rsidRPr="00537675">
          <w:rPr>
            <w:rFonts w:ascii="Arial" w:hAnsi="Arial" w:cs="Arial"/>
            <w:noProof/>
            <w:webHidden/>
          </w:rPr>
        </w:r>
        <w:r w:rsidR="00AB03E6" w:rsidRPr="00537675">
          <w:rPr>
            <w:rFonts w:ascii="Arial" w:hAnsi="Arial" w:cs="Arial"/>
            <w:noProof/>
            <w:webHidden/>
          </w:rPr>
          <w:fldChar w:fldCharType="separate"/>
        </w:r>
        <w:r>
          <w:rPr>
            <w:rFonts w:ascii="Arial" w:hAnsi="Arial" w:cs="Arial"/>
            <w:noProof/>
            <w:webHidden/>
          </w:rPr>
          <w:t>14</w:t>
        </w:r>
        <w:r w:rsidR="00AB03E6" w:rsidRPr="00537675">
          <w:rPr>
            <w:rFonts w:ascii="Arial" w:hAnsi="Arial" w:cs="Arial"/>
            <w:noProof/>
            <w:webHidden/>
          </w:rPr>
          <w:fldChar w:fldCharType="end"/>
        </w:r>
      </w:hyperlink>
    </w:p>
    <w:p w:rsidR="00AB03E6" w:rsidRPr="00537675" w:rsidRDefault="00702EFF">
      <w:pPr>
        <w:pStyle w:val="TOC2"/>
        <w:rPr>
          <w:rFonts w:ascii="Arial" w:eastAsiaTheme="minorEastAsia" w:hAnsi="Arial" w:cs="Arial"/>
          <w:smallCaps w:val="0"/>
          <w:sz w:val="22"/>
          <w:szCs w:val="22"/>
          <w:lang w:val="en-NZ" w:eastAsia="en-NZ" w:bidi="ar-SA"/>
        </w:rPr>
      </w:pPr>
      <w:hyperlink w:anchor="_Toc396117794" w:history="1">
        <w:r w:rsidR="00AB03E6" w:rsidRPr="00537675">
          <w:rPr>
            <w:rStyle w:val="Hyperlink"/>
            <w:rFonts w:cs="Arial"/>
          </w:rPr>
          <w:t xml:space="preserve">Attachment A – Draft variations to the </w:t>
        </w:r>
        <w:r w:rsidR="00AB03E6" w:rsidRPr="00537675">
          <w:rPr>
            <w:rStyle w:val="Hyperlink"/>
            <w:rFonts w:cs="Arial"/>
            <w:i/>
          </w:rPr>
          <w:t>Australia New Zealand Food Standards Code</w:t>
        </w:r>
        <w:r w:rsidR="00AB03E6" w:rsidRPr="00537675">
          <w:rPr>
            <w:rFonts w:ascii="Arial" w:hAnsi="Arial" w:cs="Arial"/>
            <w:webHidden/>
          </w:rPr>
          <w:tab/>
        </w:r>
        <w:r w:rsidR="00AB03E6" w:rsidRPr="00537675">
          <w:rPr>
            <w:rFonts w:ascii="Arial" w:hAnsi="Arial" w:cs="Arial"/>
            <w:webHidden/>
          </w:rPr>
          <w:fldChar w:fldCharType="begin"/>
        </w:r>
        <w:r w:rsidR="00AB03E6" w:rsidRPr="00537675">
          <w:rPr>
            <w:rFonts w:ascii="Arial" w:hAnsi="Arial" w:cs="Arial"/>
            <w:webHidden/>
          </w:rPr>
          <w:instrText xml:space="preserve"> PAGEREF _Toc396117794 \h </w:instrText>
        </w:r>
        <w:r w:rsidR="00AB03E6" w:rsidRPr="00537675">
          <w:rPr>
            <w:rFonts w:ascii="Arial" w:hAnsi="Arial" w:cs="Arial"/>
            <w:webHidden/>
          </w:rPr>
        </w:r>
        <w:r w:rsidR="00AB03E6" w:rsidRPr="00537675">
          <w:rPr>
            <w:rFonts w:ascii="Arial" w:hAnsi="Arial" w:cs="Arial"/>
            <w:webHidden/>
          </w:rPr>
          <w:fldChar w:fldCharType="separate"/>
        </w:r>
        <w:r>
          <w:rPr>
            <w:rFonts w:ascii="Arial" w:hAnsi="Arial" w:cs="Arial"/>
            <w:webHidden/>
          </w:rPr>
          <w:t>15</w:t>
        </w:r>
        <w:r w:rsidR="00AB03E6" w:rsidRPr="00537675">
          <w:rPr>
            <w:rFonts w:ascii="Arial" w:hAnsi="Arial" w:cs="Arial"/>
            <w:webHidden/>
          </w:rPr>
          <w:fldChar w:fldCharType="end"/>
        </w:r>
      </w:hyperlink>
    </w:p>
    <w:p w:rsidR="00AB03E6" w:rsidRPr="00537675" w:rsidRDefault="00702EFF">
      <w:pPr>
        <w:pStyle w:val="TOC2"/>
        <w:rPr>
          <w:rFonts w:ascii="Arial" w:eastAsiaTheme="minorEastAsia" w:hAnsi="Arial" w:cs="Arial"/>
          <w:smallCaps w:val="0"/>
          <w:sz w:val="22"/>
          <w:szCs w:val="22"/>
          <w:lang w:val="en-NZ" w:eastAsia="en-NZ" w:bidi="ar-SA"/>
        </w:rPr>
      </w:pPr>
      <w:hyperlink w:anchor="_Toc396117795" w:history="1">
        <w:r w:rsidR="00AB03E6" w:rsidRPr="00537675">
          <w:rPr>
            <w:rStyle w:val="Hyperlink"/>
            <w:rFonts w:cs="Arial"/>
          </w:rPr>
          <w:t>Attachment B – Draft Explanatory Statement</w:t>
        </w:r>
        <w:r w:rsidR="00AB03E6" w:rsidRPr="00537675">
          <w:rPr>
            <w:rFonts w:ascii="Arial" w:hAnsi="Arial" w:cs="Arial"/>
            <w:webHidden/>
          </w:rPr>
          <w:tab/>
        </w:r>
        <w:r w:rsidR="00AB03E6" w:rsidRPr="00537675">
          <w:rPr>
            <w:rFonts w:ascii="Arial" w:hAnsi="Arial" w:cs="Arial"/>
            <w:webHidden/>
          </w:rPr>
          <w:fldChar w:fldCharType="begin"/>
        </w:r>
        <w:r w:rsidR="00AB03E6" w:rsidRPr="00537675">
          <w:rPr>
            <w:rFonts w:ascii="Arial" w:hAnsi="Arial" w:cs="Arial"/>
            <w:webHidden/>
          </w:rPr>
          <w:instrText xml:space="preserve"> PAGEREF _Toc396117795 \h </w:instrText>
        </w:r>
        <w:r w:rsidR="00AB03E6" w:rsidRPr="00537675">
          <w:rPr>
            <w:rFonts w:ascii="Arial" w:hAnsi="Arial" w:cs="Arial"/>
            <w:webHidden/>
          </w:rPr>
        </w:r>
        <w:r w:rsidR="00AB03E6" w:rsidRPr="00537675">
          <w:rPr>
            <w:rFonts w:ascii="Arial" w:hAnsi="Arial" w:cs="Arial"/>
            <w:webHidden/>
          </w:rPr>
          <w:fldChar w:fldCharType="separate"/>
        </w:r>
        <w:r>
          <w:rPr>
            <w:rFonts w:ascii="Arial" w:hAnsi="Arial" w:cs="Arial"/>
            <w:webHidden/>
          </w:rPr>
          <w:t>17</w:t>
        </w:r>
        <w:r w:rsidR="00AB03E6" w:rsidRPr="00537675">
          <w:rPr>
            <w:rFonts w:ascii="Arial" w:hAnsi="Arial" w:cs="Arial"/>
            <w:webHidden/>
          </w:rPr>
          <w:fldChar w:fldCharType="end"/>
        </w:r>
      </w:hyperlink>
    </w:p>
    <w:p w:rsidR="00D73931" w:rsidRDefault="00051ED9" w:rsidP="00051ED9">
      <w:pPr>
        <w:rPr>
          <w:rFonts w:cs="Arial"/>
        </w:rPr>
      </w:pPr>
      <w:r w:rsidRPr="00537675">
        <w:rPr>
          <w:rFonts w:cs="Arial"/>
        </w:rPr>
        <w:fldChar w:fldCharType="end"/>
      </w:r>
    </w:p>
    <w:p w:rsidR="00537675" w:rsidRPr="00E203C2" w:rsidRDefault="00537675" w:rsidP="00051ED9"/>
    <w:p w:rsidR="0037520F" w:rsidRPr="008844E4" w:rsidRDefault="0037520F" w:rsidP="0037520F">
      <w:pPr>
        <w:rPr>
          <w:b/>
          <w:szCs w:val="22"/>
        </w:rPr>
      </w:pPr>
      <w:r w:rsidRPr="008844E4">
        <w:rPr>
          <w:b/>
          <w:szCs w:val="22"/>
        </w:rPr>
        <w:t>Supporting documents</w:t>
      </w:r>
    </w:p>
    <w:p w:rsidR="0037520F" w:rsidRPr="0089264A" w:rsidRDefault="0037520F" w:rsidP="0037520F">
      <w:pPr>
        <w:rPr>
          <w:szCs w:val="22"/>
        </w:rPr>
      </w:pPr>
    </w:p>
    <w:p w:rsidR="0037520F" w:rsidRPr="0086221B" w:rsidRDefault="0037520F" w:rsidP="0037520F">
      <w:pPr>
        <w:rPr>
          <w:szCs w:val="22"/>
        </w:rPr>
      </w:pPr>
      <w:r w:rsidRPr="0089264A">
        <w:rPr>
          <w:szCs w:val="22"/>
        </w:rPr>
        <w:t xml:space="preserve">The following </w:t>
      </w:r>
      <w:r>
        <w:rPr>
          <w:szCs w:val="22"/>
        </w:rPr>
        <w:t>documents</w:t>
      </w:r>
      <w:r w:rsidRPr="0089264A">
        <w:rPr>
          <w:szCs w:val="22"/>
        </w:rPr>
        <w:t xml:space="preserve"> </w:t>
      </w:r>
      <w:r w:rsidR="00681754">
        <w:rPr>
          <w:szCs w:val="22"/>
        </w:rPr>
        <w:t xml:space="preserve">which informed the assessment of this </w:t>
      </w:r>
      <w:r w:rsidR="00681754" w:rsidRPr="00EC6209">
        <w:rPr>
          <w:szCs w:val="22"/>
        </w:rPr>
        <w:t>Application</w:t>
      </w:r>
      <w:r w:rsidR="0086221B" w:rsidRPr="00EC6209">
        <w:rPr>
          <w:szCs w:val="22"/>
        </w:rPr>
        <w:t xml:space="preserve"> </w:t>
      </w:r>
      <w:r w:rsidRPr="00EC6209">
        <w:rPr>
          <w:szCs w:val="22"/>
        </w:rPr>
        <w:t xml:space="preserve">are available </w:t>
      </w:r>
      <w:r w:rsidRPr="0089264A">
        <w:rPr>
          <w:szCs w:val="22"/>
        </w:rPr>
        <w:t>on the FSANZ website at</w:t>
      </w:r>
      <w:r w:rsidR="0086221B">
        <w:rPr>
          <w:szCs w:val="22"/>
        </w:rPr>
        <w:t xml:space="preserve"> </w:t>
      </w:r>
      <w:hyperlink r:id="rId21" w:history="1">
        <w:r w:rsidR="0086221B" w:rsidRPr="009C710B">
          <w:rPr>
            <w:rStyle w:val="Hyperlink"/>
            <w:szCs w:val="22"/>
          </w:rPr>
          <w:t>http://www.foodstandards.gov.au/code/applications/Pages/A1092-Irradiation.aspx</w:t>
        </w:r>
      </w:hyperlink>
    </w:p>
    <w:p w:rsidR="0089264A" w:rsidRPr="0089264A" w:rsidRDefault="0089264A" w:rsidP="0089264A">
      <w:pPr>
        <w:rPr>
          <w:szCs w:val="22"/>
        </w:rPr>
      </w:pPr>
    </w:p>
    <w:p w:rsidR="00DC0FD1" w:rsidRPr="000646D1" w:rsidRDefault="00DC0FD1" w:rsidP="00451F77">
      <w:pPr>
        <w:spacing w:line="280" w:lineRule="exact"/>
        <w:ind w:left="1134" w:hanging="1134"/>
        <w:outlineLvl w:val="3"/>
        <w:rPr>
          <w:rFonts w:cs="Arial"/>
          <w:szCs w:val="22"/>
        </w:rPr>
      </w:pPr>
      <w:r w:rsidRPr="000646D1">
        <w:rPr>
          <w:rFonts w:cs="Arial"/>
          <w:szCs w:val="22"/>
        </w:rPr>
        <w:t>SD1</w:t>
      </w:r>
      <w:r w:rsidRPr="000646D1">
        <w:rPr>
          <w:rFonts w:cs="Arial"/>
          <w:szCs w:val="22"/>
        </w:rPr>
        <w:tab/>
        <w:t>Food irradiation in Australia, New Zealand and other countries</w:t>
      </w:r>
    </w:p>
    <w:p w:rsidR="00451F77" w:rsidRPr="000646D1" w:rsidRDefault="00DC0FD1" w:rsidP="00451F77">
      <w:pPr>
        <w:ind w:left="1134" w:hanging="1134"/>
        <w:rPr>
          <w:szCs w:val="22"/>
        </w:rPr>
      </w:pPr>
      <w:r w:rsidRPr="000646D1">
        <w:rPr>
          <w:rFonts w:cs="Arial"/>
          <w:szCs w:val="22"/>
        </w:rPr>
        <w:t>SD2</w:t>
      </w:r>
      <w:r w:rsidRPr="000646D1">
        <w:rPr>
          <w:rFonts w:cs="Arial"/>
          <w:szCs w:val="22"/>
        </w:rPr>
        <w:tab/>
        <w:t>Risk and Technical Assessment Report</w:t>
      </w:r>
      <w:r w:rsidRPr="00F938F4">
        <w:rPr>
          <w:szCs w:val="22"/>
        </w:rPr>
        <w:t xml:space="preserve"> </w:t>
      </w:r>
    </w:p>
    <w:p w:rsidR="00051ED9" w:rsidRPr="00F938F4" w:rsidRDefault="00562917" w:rsidP="00DC0FD1">
      <w:r w:rsidRPr="00F938F4">
        <w:br w:type="page"/>
      </w:r>
    </w:p>
    <w:p w:rsidR="00E063C6" w:rsidRDefault="00F33BB8" w:rsidP="000A5DF8">
      <w:pPr>
        <w:pStyle w:val="Heading1"/>
      </w:pPr>
      <w:bookmarkStart w:id="1" w:name="_Toc286391001"/>
      <w:bookmarkStart w:id="2" w:name="_Toc300933414"/>
      <w:bookmarkStart w:id="3" w:name="_Toc396117771"/>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rsidR="00171830" w:rsidRDefault="00171830" w:rsidP="00171830">
      <w:r w:rsidRPr="008917B3">
        <w:rPr>
          <w:lang w:bidi="ar-SA"/>
        </w:rPr>
        <w:t>Food Standards Australia New Zealand (FSANZ) received an Application from the</w:t>
      </w:r>
      <w:r w:rsidR="00700DA3" w:rsidRPr="008917B3">
        <w:rPr>
          <w:lang w:bidi="ar-SA"/>
        </w:rPr>
        <w:t xml:space="preserve"> </w:t>
      </w:r>
      <w:r w:rsidR="00700DA3" w:rsidRPr="008917B3">
        <w:t xml:space="preserve">Queensland Department of Agriculture, Fisheries &amp; Forestry </w:t>
      </w:r>
      <w:r w:rsidR="00700DA3" w:rsidRPr="008917B3">
        <w:rPr>
          <w:sz w:val="20"/>
          <w:szCs w:val="20"/>
        </w:rPr>
        <w:t>to</w:t>
      </w:r>
      <w:r w:rsidR="00700DA3" w:rsidRPr="008917B3">
        <w:t xml:space="preserve"> seek p</w:t>
      </w:r>
      <w:r w:rsidR="005A4279">
        <w:t xml:space="preserve">ermission to irradiate </w:t>
      </w:r>
      <w:r w:rsidR="00700DA3" w:rsidRPr="008917B3">
        <w:t>apple, apricot, cherry, nectarine, peach, plum, honeydew, rockmel</w:t>
      </w:r>
      <w:r w:rsidR="00A71AAF">
        <w:t xml:space="preserve">on, </w:t>
      </w:r>
      <w:r w:rsidR="006C46A8" w:rsidRPr="00822858">
        <w:t>scallopini</w:t>
      </w:r>
      <w:r w:rsidR="006C46A8">
        <w:t xml:space="preserve">, </w:t>
      </w:r>
      <w:r w:rsidR="00A71AAF">
        <w:t>strawberry, table grape</w:t>
      </w:r>
      <w:r w:rsidR="00A71AAF" w:rsidRPr="00822858">
        <w:t xml:space="preserve">, </w:t>
      </w:r>
      <w:r w:rsidR="00700DA3" w:rsidRPr="00822858">
        <w:t>zucchini</w:t>
      </w:r>
      <w:r w:rsidR="00295969" w:rsidRPr="00822858">
        <w:t xml:space="preserve"> (courgette)</w:t>
      </w:r>
      <w:r w:rsidR="006C46A8">
        <w:t xml:space="preserve"> </w:t>
      </w:r>
      <w:r w:rsidR="00700DA3" w:rsidRPr="00822858">
        <w:t>for</w:t>
      </w:r>
      <w:r w:rsidR="00700DA3" w:rsidRPr="008917B3">
        <w:t xml:space="preserve"> phytosanitary purposes. </w:t>
      </w:r>
      <w:r w:rsidR="00582C82">
        <w:t>The same dose ranges (150 Gy to 1 kGy) and conditions (including mandatory labelling) as currently prescribed for tropical fruits, persimmon</w:t>
      </w:r>
      <w:r w:rsidR="008157EC">
        <w:t>s</w:t>
      </w:r>
      <w:r w:rsidR="00582C82">
        <w:t>, tomato</w:t>
      </w:r>
      <w:r w:rsidR="008157EC">
        <w:t>es</w:t>
      </w:r>
      <w:r w:rsidR="00582C82">
        <w:t xml:space="preserve"> and capsicum</w:t>
      </w:r>
      <w:r w:rsidR="008157EC">
        <w:t>s</w:t>
      </w:r>
      <w:r w:rsidR="00582C82">
        <w:t xml:space="preserve"> in the </w:t>
      </w:r>
      <w:r w:rsidR="00582C82" w:rsidRPr="00A977FC">
        <w:rPr>
          <w:i/>
        </w:rPr>
        <w:t>Australia New Zealand Food Standards Code</w:t>
      </w:r>
      <w:r w:rsidR="00582C82">
        <w:t xml:space="preserve"> (</w:t>
      </w:r>
      <w:r w:rsidR="00451F77">
        <w:t>t</w:t>
      </w:r>
      <w:r w:rsidR="00582C82">
        <w:t>he Code) are requested</w:t>
      </w:r>
      <w:r w:rsidR="00582C82" w:rsidRPr="00E54195">
        <w:t>.</w:t>
      </w:r>
      <w:r w:rsidR="00582C82">
        <w:t xml:space="preserve"> </w:t>
      </w:r>
    </w:p>
    <w:p w:rsidR="00582C82" w:rsidRPr="008917B3" w:rsidRDefault="00582C82" w:rsidP="00171830">
      <w:pPr>
        <w:rPr>
          <w:lang w:bidi="ar-SA"/>
        </w:rPr>
      </w:pPr>
    </w:p>
    <w:p w:rsidR="00423F20" w:rsidRDefault="00612081" w:rsidP="00A56E34">
      <w:bookmarkStart w:id="9" w:name="_Toc286391003"/>
      <w:r w:rsidRPr="00612081">
        <w:t xml:space="preserve">FSANZ has reviewed the rationale for the Application and current scientific evidence on both the safety of </w:t>
      </w:r>
      <w:r>
        <w:t xml:space="preserve">the </w:t>
      </w:r>
      <w:r w:rsidRPr="00612081">
        <w:t>ir</w:t>
      </w:r>
      <w:r>
        <w:t xml:space="preserve">radiated fruits </w:t>
      </w:r>
      <w:r w:rsidR="005E3D35">
        <w:t xml:space="preserve">and vegetables </w:t>
      </w:r>
      <w:r w:rsidRPr="00612081">
        <w:t xml:space="preserve">and the effect of irradiation on their nutritional composition. </w:t>
      </w:r>
    </w:p>
    <w:p w:rsidR="00423F20" w:rsidRDefault="00423F20" w:rsidP="00A56E34"/>
    <w:p w:rsidR="00E6588B" w:rsidRDefault="00612081" w:rsidP="00A56E34">
      <w:r w:rsidRPr="00612081">
        <w:t>Relevant quarantine agencies in Australia and New Zealand provided advice on whether irradiation is a valid treatment for quarantine purposes for the disinfes</w:t>
      </w:r>
      <w:r>
        <w:t>tation of these fruits</w:t>
      </w:r>
      <w:r w:rsidR="005E3D35">
        <w:t xml:space="preserve"> and vegetables</w:t>
      </w:r>
      <w:r w:rsidRPr="00612081">
        <w:t>. Permit</w:t>
      </w:r>
      <w:r>
        <w:t>ting the irradiation of these fruits</w:t>
      </w:r>
      <w:r w:rsidR="005E3D35">
        <w:t xml:space="preserve"> and vegetables</w:t>
      </w:r>
      <w:r>
        <w:t xml:space="preserve"> </w:t>
      </w:r>
      <w:r w:rsidRPr="00612081">
        <w:t xml:space="preserve">will allow increased domestic and international </w:t>
      </w:r>
      <w:r>
        <w:t xml:space="preserve">trade </w:t>
      </w:r>
      <w:r w:rsidRPr="00612081">
        <w:t>as there are rigorous requirements in place for an appropriate and efficacious treatment for fruit fly for quarantine purposes.</w:t>
      </w:r>
      <w:r w:rsidR="00E6588B">
        <w:t xml:space="preserve"> </w:t>
      </w:r>
      <w:r w:rsidR="00E6588B" w:rsidRPr="00E6588B">
        <w:t xml:space="preserve">In the past, phytosanitary measures for these foods have primarily involved the use of the chemicals dimethoate and/or fenthion. However, since the use of dimethoate and fenthion for this purpose has been restricted, other options such as irradiation need to be </w:t>
      </w:r>
      <w:r w:rsidR="00B366C4" w:rsidRPr="00E6588B">
        <w:t>considered.</w:t>
      </w:r>
      <w:r w:rsidR="00E6588B" w:rsidRPr="00E6588B">
        <w:t xml:space="preserve">    </w:t>
      </w:r>
    </w:p>
    <w:p w:rsidR="00612081" w:rsidRDefault="00612081" w:rsidP="00A56E34"/>
    <w:p w:rsidR="005E3D35" w:rsidRDefault="00345EF1" w:rsidP="00345EF1">
      <w:pPr>
        <w:pStyle w:val="FSBullet1"/>
        <w:numPr>
          <w:ilvl w:val="0"/>
          <w:numId w:val="0"/>
        </w:numPr>
      </w:pPr>
      <w:r w:rsidRPr="001620AB">
        <w:t>There are negligible</w:t>
      </w:r>
      <w:r>
        <w:t xml:space="preserve"> food safety</w:t>
      </w:r>
      <w:r w:rsidRPr="001620AB">
        <w:t xml:space="preserve"> risks associated with the formation of radiolytic compounds in </w:t>
      </w:r>
      <w:r>
        <w:t>the specified fruits</w:t>
      </w:r>
      <w:r w:rsidR="005E3D35">
        <w:t xml:space="preserve"> and vegetables</w:t>
      </w:r>
      <w:r w:rsidRPr="001620AB">
        <w:t xml:space="preserve">. The low lipid content of </w:t>
      </w:r>
      <w:r>
        <w:t xml:space="preserve">the fruits </w:t>
      </w:r>
      <w:r w:rsidR="005E3D35">
        <w:t xml:space="preserve">and vegetables </w:t>
      </w:r>
    </w:p>
    <w:p w:rsidR="00345EF1" w:rsidRDefault="00345EF1" w:rsidP="00345EF1">
      <w:pPr>
        <w:pStyle w:val="FSBullet1"/>
        <w:numPr>
          <w:ilvl w:val="0"/>
          <w:numId w:val="0"/>
        </w:numPr>
      </w:pPr>
      <w:r>
        <w:t>(0.4</w:t>
      </w:r>
      <w:r w:rsidRPr="001620AB">
        <w:t xml:space="preserve"> g/100 g or less) means there is a low potential to generate </w:t>
      </w:r>
      <w:r w:rsidR="00C841DA">
        <w:t>2-alkylcyclobutanones (</w:t>
      </w:r>
      <w:r w:rsidRPr="001620AB">
        <w:t>2-ACBs</w:t>
      </w:r>
      <w:r w:rsidR="00C841DA">
        <w:t>)</w:t>
      </w:r>
      <w:r w:rsidRPr="001620AB">
        <w:t xml:space="preserve">. Furan formation in </w:t>
      </w:r>
      <w:r>
        <w:t xml:space="preserve">the majority of the fruits </w:t>
      </w:r>
      <w:r w:rsidR="005E3D35">
        <w:t xml:space="preserve">and vegetable </w:t>
      </w:r>
      <w:r>
        <w:t>was not detected, with negligible levels in apples and strawberries. The low levels generated in table grapes are also unlikely to present a toxicological hazard</w:t>
      </w:r>
      <w:r w:rsidRPr="001620AB">
        <w:t xml:space="preserve">. </w:t>
      </w:r>
    </w:p>
    <w:p w:rsidR="009C4D57" w:rsidRDefault="009C4D57" w:rsidP="00C219F2"/>
    <w:p w:rsidR="00345EF1" w:rsidRDefault="00345EF1" w:rsidP="00345EF1">
      <w:pPr>
        <w:rPr>
          <w:rFonts w:cs="Arial"/>
        </w:rPr>
      </w:pPr>
      <w:r>
        <w:rPr>
          <w:rFonts w:cs="Arial"/>
        </w:rPr>
        <w:t xml:space="preserve">The published literature indicates that irradiation up to 1 kGy does not reduce the nutritional quality of fruits and vegetables. Vitamin C levels can be diminished by irradiation, but the extent of diminution is generally similar to that produced by other post-harvest handling and processing. The data provided by the applicant found no significant change in vitamin C levels </w:t>
      </w:r>
      <w:r w:rsidR="0002387F">
        <w:rPr>
          <w:rFonts w:cs="Arial"/>
        </w:rPr>
        <w:t>attributable to</w:t>
      </w:r>
      <w:r>
        <w:rPr>
          <w:rFonts w:cs="Arial"/>
        </w:rPr>
        <w:t xml:space="preserve"> irradiation. In the assessment of the current application, there is no evidence to indicate that vitamin C levels in the specified irradiated fruits</w:t>
      </w:r>
      <w:r w:rsidR="005E3D35">
        <w:rPr>
          <w:rFonts w:cs="Arial"/>
        </w:rPr>
        <w:t xml:space="preserve"> and vegetables</w:t>
      </w:r>
      <w:r>
        <w:rPr>
          <w:rFonts w:cs="Arial"/>
        </w:rPr>
        <w:t xml:space="preserve"> would be lower than that found in comparable non-irradiated fruits</w:t>
      </w:r>
      <w:r w:rsidR="005E3D35">
        <w:rPr>
          <w:rFonts w:cs="Arial"/>
        </w:rPr>
        <w:t xml:space="preserve"> and vegetables</w:t>
      </w:r>
      <w:r>
        <w:rPr>
          <w:rFonts w:cs="Arial"/>
        </w:rPr>
        <w:t xml:space="preserve">. </w:t>
      </w:r>
    </w:p>
    <w:p w:rsidR="00345EF1" w:rsidRDefault="00345EF1" w:rsidP="00C219F2"/>
    <w:p w:rsidR="00F23B48" w:rsidRPr="00A011A2" w:rsidRDefault="00F23B48" w:rsidP="00F23B48">
      <w:pPr>
        <w:widowControl/>
        <w:rPr>
          <w:color w:val="000000" w:themeColor="text1"/>
        </w:rPr>
      </w:pPr>
      <w:r w:rsidRPr="00A011A2">
        <w:rPr>
          <w:szCs w:val="22"/>
        </w:rPr>
        <w:t xml:space="preserve">FSANZ has prepared a draft variation to the Code </w:t>
      </w:r>
      <w:r w:rsidRPr="00A011A2">
        <w:rPr>
          <w:color w:val="000000" w:themeColor="text1"/>
        </w:rPr>
        <w:t>to permit the irrad</w:t>
      </w:r>
      <w:r>
        <w:rPr>
          <w:color w:val="000000" w:themeColor="text1"/>
        </w:rPr>
        <w:t xml:space="preserve">iation of these </w:t>
      </w:r>
      <w:r w:rsidR="00D25F4D">
        <w:rPr>
          <w:color w:val="000000" w:themeColor="text1"/>
        </w:rPr>
        <w:t xml:space="preserve">fruits </w:t>
      </w:r>
      <w:r w:rsidR="005E3D35">
        <w:rPr>
          <w:rFonts w:cs="Arial"/>
        </w:rPr>
        <w:t>and vegetables</w:t>
      </w:r>
      <w:r w:rsidR="005E3D35" w:rsidRPr="00A011A2">
        <w:rPr>
          <w:color w:val="000000" w:themeColor="text1"/>
        </w:rPr>
        <w:t xml:space="preserve"> </w:t>
      </w:r>
      <w:r w:rsidR="00D25F4D" w:rsidRPr="00A011A2">
        <w:rPr>
          <w:color w:val="000000" w:themeColor="text1"/>
        </w:rPr>
        <w:t>by</w:t>
      </w:r>
      <w:r>
        <w:rPr>
          <w:color w:val="000000" w:themeColor="text1"/>
        </w:rPr>
        <w:t xml:space="preserve"> adding them </w:t>
      </w:r>
      <w:r w:rsidRPr="00A011A2">
        <w:rPr>
          <w:color w:val="000000" w:themeColor="text1"/>
        </w:rPr>
        <w:t>to the Table to clause 4 in Standard 1.5.3 with a minimum dose of 150 Gray (Gy) and a maximum dose of 1 kGy.</w:t>
      </w:r>
    </w:p>
    <w:p w:rsidR="0053464E" w:rsidRDefault="0053464E" w:rsidP="00C219F2">
      <w:r>
        <w:br w:type="page"/>
      </w:r>
    </w:p>
    <w:p w:rsidR="002A5F8B" w:rsidRDefault="00F33BB8" w:rsidP="000B6AF2">
      <w:pPr>
        <w:pStyle w:val="Heading1"/>
      </w:pPr>
      <w:bookmarkStart w:id="10" w:name="_Toc300933417"/>
      <w:bookmarkStart w:id="11" w:name="_Toc396117772"/>
      <w:r>
        <w:lastRenderedPageBreak/>
        <w:t>1</w:t>
      </w:r>
      <w:r w:rsidR="001542D8">
        <w:tab/>
      </w:r>
      <w:r w:rsidR="002A5F8B" w:rsidRPr="000B6AF2">
        <w:t>Introduction</w:t>
      </w:r>
      <w:bookmarkEnd w:id="9"/>
      <w:bookmarkEnd w:id="10"/>
      <w:bookmarkEnd w:id="11"/>
    </w:p>
    <w:p w:rsidR="0053464E" w:rsidRDefault="00F33BB8" w:rsidP="00A56E34">
      <w:pPr>
        <w:pStyle w:val="Heading2"/>
      </w:pPr>
      <w:bookmarkStart w:id="12" w:name="_Toc300761890"/>
      <w:bookmarkStart w:id="13" w:name="_Toc396117773"/>
      <w:bookmarkStart w:id="14" w:name="_Toc300933419"/>
      <w:r>
        <w:t>1</w:t>
      </w:r>
      <w:r w:rsidR="0053464E" w:rsidRPr="0053464E">
        <w:t>.1</w:t>
      </w:r>
      <w:r w:rsidR="0053464E" w:rsidRPr="0053464E">
        <w:tab/>
        <w:t>The Applicant</w:t>
      </w:r>
      <w:bookmarkEnd w:id="12"/>
      <w:bookmarkEnd w:id="13"/>
      <w:r w:rsidR="00256D65" w:rsidRPr="00256D65">
        <w:t xml:space="preserve"> </w:t>
      </w:r>
      <w:bookmarkEnd w:id="14"/>
    </w:p>
    <w:p w:rsidR="00825B21" w:rsidRDefault="006E3ADC" w:rsidP="00825B21">
      <w:pPr>
        <w:rPr>
          <w:lang w:bidi="ar-SA"/>
        </w:rPr>
      </w:pPr>
      <w:r>
        <w:rPr>
          <w:lang w:bidi="ar-SA"/>
        </w:rPr>
        <w:t xml:space="preserve">The </w:t>
      </w:r>
      <w:r w:rsidR="00451F77">
        <w:rPr>
          <w:lang w:bidi="ar-SA"/>
        </w:rPr>
        <w:t>A</w:t>
      </w:r>
      <w:r>
        <w:rPr>
          <w:lang w:bidi="ar-SA"/>
        </w:rPr>
        <w:t>pplication wa</w:t>
      </w:r>
      <w:r w:rsidR="0095407F">
        <w:rPr>
          <w:lang w:bidi="ar-SA"/>
        </w:rPr>
        <w:t xml:space="preserve">s </w:t>
      </w:r>
      <w:r w:rsidR="00825B21">
        <w:rPr>
          <w:lang w:bidi="ar-SA"/>
        </w:rPr>
        <w:t xml:space="preserve">made by the Queensland Department of Agriculture, Fisheries and Forestry (QLD DAFF). </w:t>
      </w:r>
    </w:p>
    <w:p w:rsidR="0053464E" w:rsidRPr="00222B05" w:rsidRDefault="00F33BB8" w:rsidP="00222B05">
      <w:pPr>
        <w:pStyle w:val="Heading2"/>
      </w:pPr>
      <w:bookmarkStart w:id="15" w:name="_Toc300761891"/>
      <w:bookmarkStart w:id="16" w:name="_Toc300933420"/>
      <w:bookmarkStart w:id="17" w:name="_Toc396117774"/>
      <w:r w:rsidRPr="00222B05">
        <w:t>1</w:t>
      </w:r>
      <w:r w:rsidR="0053464E" w:rsidRPr="00222B05">
        <w:t>.2</w:t>
      </w:r>
      <w:r w:rsidR="0053464E" w:rsidRPr="00222B05">
        <w:tab/>
        <w:t>The Application</w:t>
      </w:r>
      <w:bookmarkEnd w:id="15"/>
      <w:bookmarkEnd w:id="16"/>
      <w:bookmarkEnd w:id="17"/>
    </w:p>
    <w:p w:rsidR="00026C80" w:rsidRDefault="0095407F" w:rsidP="0053464E">
      <w:pPr>
        <w:rPr>
          <w:lang w:bidi="ar-SA"/>
        </w:rPr>
      </w:pPr>
      <w:r w:rsidRPr="003113E4">
        <w:rPr>
          <w:lang w:bidi="ar-SA"/>
        </w:rPr>
        <w:t>Th</w:t>
      </w:r>
      <w:r w:rsidR="009F43E9">
        <w:rPr>
          <w:lang w:bidi="ar-SA"/>
        </w:rPr>
        <w:t>e</w:t>
      </w:r>
      <w:r w:rsidRPr="003113E4">
        <w:rPr>
          <w:lang w:bidi="ar-SA"/>
        </w:rPr>
        <w:t xml:space="preserve"> </w:t>
      </w:r>
      <w:r w:rsidR="00451F77">
        <w:rPr>
          <w:lang w:bidi="ar-SA"/>
        </w:rPr>
        <w:t>A</w:t>
      </w:r>
      <w:r w:rsidRPr="003113E4">
        <w:rPr>
          <w:lang w:bidi="ar-SA"/>
        </w:rPr>
        <w:t xml:space="preserve">pplication </w:t>
      </w:r>
      <w:r>
        <w:rPr>
          <w:lang w:bidi="ar-SA"/>
        </w:rPr>
        <w:t xml:space="preserve">was </w:t>
      </w:r>
      <w:r w:rsidR="00451F77">
        <w:rPr>
          <w:lang w:bidi="ar-SA"/>
        </w:rPr>
        <w:t xml:space="preserve">lodged </w:t>
      </w:r>
      <w:r>
        <w:rPr>
          <w:lang w:bidi="ar-SA"/>
        </w:rPr>
        <w:t xml:space="preserve">on </w:t>
      </w:r>
      <w:r w:rsidR="00A06770">
        <w:rPr>
          <w:lang w:bidi="ar-SA"/>
        </w:rPr>
        <w:t xml:space="preserve">25 October 2013 and </w:t>
      </w:r>
      <w:r w:rsidRPr="003113E4">
        <w:rPr>
          <w:lang w:bidi="ar-SA"/>
        </w:rPr>
        <w:t xml:space="preserve">seeks </w:t>
      </w:r>
      <w:r w:rsidR="009F43E9">
        <w:rPr>
          <w:lang w:bidi="ar-SA"/>
        </w:rPr>
        <w:t xml:space="preserve">to amend </w:t>
      </w:r>
      <w:r w:rsidRPr="003113E4">
        <w:rPr>
          <w:lang w:bidi="ar-SA"/>
        </w:rPr>
        <w:t>an existing standard: Standar</w:t>
      </w:r>
      <w:r>
        <w:rPr>
          <w:lang w:bidi="ar-SA"/>
        </w:rPr>
        <w:t xml:space="preserve">d 1.5.3 – Irradiated Foods to provide for the safe use of irradiation </w:t>
      </w:r>
      <w:r w:rsidRPr="003113E4">
        <w:rPr>
          <w:lang w:bidi="ar-SA"/>
        </w:rPr>
        <w:t xml:space="preserve">as a </w:t>
      </w:r>
      <w:r w:rsidR="00106718">
        <w:rPr>
          <w:lang w:bidi="ar-SA"/>
        </w:rPr>
        <w:t>phytosanitary measure</w:t>
      </w:r>
      <w:r w:rsidR="003C6409">
        <w:rPr>
          <w:rStyle w:val="FootnoteReference"/>
          <w:lang w:bidi="ar-SA"/>
        </w:rPr>
        <w:footnoteReference w:id="2"/>
      </w:r>
      <w:r w:rsidR="00106718">
        <w:rPr>
          <w:lang w:bidi="ar-SA"/>
        </w:rPr>
        <w:t xml:space="preserve"> for apple,</w:t>
      </w:r>
      <w:r w:rsidR="00277269">
        <w:rPr>
          <w:lang w:bidi="ar-SA"/>
        </w:rPr>
        <w:t xml:space="preserve"> apricot, cherry, honeydew</w:t>
      </w:r>
      <w:r w:rsidR="00106718">
        <w:rPr>
          <w:lang w:bidi="ar-SA"/>
        </w:rPr>
        <w:t xml:space="preserve">, nectarine, peach, plum, rockmelon, </w:t>
      </w:r>
      <w:r w:rsidR="006C46A8">
        <w:rPr>
          <w:lang w:bidi="ar-SA"/>
        </w:rPr>
        <w:t xml:space="preserve">scallopini, </w:t>
      </w:r>
      <w:r w:rsidR="00106718">
        <w:rPr>
          <w:lang w:bidi="ar-SA"/>
        </w:rPr>
        <w:t>strawberry, t</w:t>
      </w:r>
      <w:r w:rsidRPr="003113E4">
        <w:rPr>
          <w:lang w:bidi="ar-SA"/>
        </w:rPr>
        <w:t>able grap</w:t>
      </w:r>
      <w:r w:rsidR="00106718">
        <w:rPr>
          <w:lang w:bidi="ar-SA"/>
        </w:rPr>
        <w:t>e and z</w:t>
      </w:r>
      <w:r w:rsidR="0080639B">
        <w:rPr>
          <w:lang w:bidi="ar-SA"/>
        </w:rPr>
        <w:t>ucch</w:t>
      </w:r>
      <w:r w:rsidR="00DA7610">
        <w:rPr>
          <w:lang w:bidi="ar-SA"/>
        </w:rPr>
        <w:t>ini (courge</w:t>
      </w:r>
      <w:r w:rsidR="005357DA">
        <w:rPr>
          <w:lang w:bidi="ar-SA"/>
        </w:rPr>
        <w:t xml:space="preserve">tte). </w:t>
      </w:r>
    </w:p>
    <w:p w:rsidR="00026C80" w:rsidRDefault="00026C80" w:rsidP="0053464E">
      <w:pPr>
        <w:rPr>
          <w:lang w:bidi="ar-SA"/>
        </w:rPr>
      </w:pPr>
    </w:p>
    <w:p w:rsidR="00931816" w:rsidRPr="00822858" w:rsidRDefault="00931816" w:rsidP="0053464E">
      <w:pPr>
        <w:rPr>
          <w:lang w:bidi="ar-SA"/>
        </w:rPr>
      </w:pPr>
      <w:r w:rsidRPr="00822858">
        <w:rPr>
          <w:lang w:bidi="ar-SA"/>
        </w:rPr>
        <w:t>Zucchini (courgette</w:t>
      </w:r>
      <w:r w:rsidR="008979BB" w:rsidRPr="00822858">
        <w:rPr>
          <w:rStyle w:val="FootnoteReference"/>
          <w:lang w:bidi="ar-SA"/>
        </w:rPr>
        <w:footnoteReference w:id="3"/>
      </w:r>
      <w:r w:rsidR="00B033B0">
        <w:rPr>
          <w:lang w:bidi="ar-SA"/>
        </w:rPr>
        <w:t xml:space="preserve">) and scallopini are </w:t>
      </w:r>
      <w:r w:rsidRPr="00822858">
        <w:rPr>
          <w:lang w:bidi="ar-SA"/>
        </w:rPr>
        <w:t xml:space="preserve">members of the summer squash family. </w:t>
      </w:r>
      <w:r w:rsidR="004506EB">
        <w:rPr>
          <w:lang w:bidi="ar-SA"/>
        </w:rPr>
        <w:t>FSANZ clarified with the Applicant that t</w:t>
      </w:r>
      <w:r w:rsidR="00E97A15">
        <w:rPr>
          <w:lang w:bidi="ar-SA"/>
        </w:rPr>
        <w:t xml:space="preserve">hey are seeking permissions to irradiate </w:t>
      </w:r>
      <w:r w:rsidR="004506EB">
        <w:rPr>
          <w:lang w:bidi="ar-SA"/>
        </w:rPr>
        <w:t xml:space="preserve">both scallopini and zucchini </w:t>
      </w:r>
      <w:r w:rsidR="00CB218A">
        <w:rPr>
          <w:lang w:bidi="ar-SA"/>
        </w:rPr>
        <w:t xml:space="preserve">(courgette) </w:t>
      </w:r>
      <w:r w:rsidR="004506EB">
        <w:rPr>
          <w:lang w:bidi="ar-SA"/>
        </w:rPr>
        <w:t xml:space="preserve">and the general reference to summer squash in their application referred to both commodities. </w:t>
      </w:r>
      <w:r w:rsidR="00E23E3B">
        <w:rPr>
          <w:lang w:bidi="ar-SA"/>
        </w:rPr>
        <w:t>However</w:t>
      </w:r>
      <w:r w:rsidR="004506EB">
        <w:rPr>
          <w:lang w:bidi="ar-SA"/>
        </w:rPr>
        <w:t xml:space="preserve">, FSANZ did not see the need to </w:t>
      </w:r>
      <w:r w:rsidR="007202A5">
        <w:rPr>
          <w:lang w:bidi="ar-SA"/>
        </w:rPr>
        <w:t xml:space="preserve">list </w:t>
      </w:r>
      <w:r w:rsidR="004506EB">
        <w:rPr>
          <w:lang w:bidi="ar-SA"/>
        </w:rPr>
        <w:t>the common term summer squash in the proposed drafting</w:t>
      </w:r>
      <w:r w:rsidR="00C944FE">
        <w:rPr>
          <w:lang w:bidi="ar-SA"/>
        </w:rPr>
        <w:t xml:space="preserve"> for either scallopini or zucchini (courgette)</w:t>
      </w:r>
      <w:r w:rsidR="004506EB">
        <w:rPr>
          <w:lang w:bidi="ar-SA"/>
        </w:rPr>
        <w:t xml:space="preserve">. </w:t>
      </w:r>
    </w:p>
    <w:p w:rsidR="00931816" w:rsidRPr="00822858" w:rsidRDefault="00931816" w:rsidP="0053464E">
      <w:pPr>
        <w:rPr>
          <w:lang w:bidi="ar-SA"/>
        </w:rPr>
      </w:pPr>
    </w:p>
    <w:p w:rsidR="00026C80" w:rsidRPr="00822858" w:rsidRDefault="00026C80" w:rsidP="0053464E">
      <w:pPr>
        <w:rPr>
          <w:lang w:bidi="ar-SA"/>
        </w:rPr>
      </w:pPr>
      <w:r w:rsidRPr="00822858">
        <w:rPr>
          <w:lang w:bidi="ar-SA"/>
        </w:rPr>
        <w:t>The App</w:t>
      </w:r>
      <w:r w:rsidR="00931816" w:rsidRPr="00822858">
        <w:rPr>
          <w:lang w:bidi="ar-SA"/>
        </w:rPr>
        <w:t xml:space="preserve">licant has indicated </w:t>
      </w:r>
      <w:r w:rsidR="00CC70E4" w:rsidRPr="00822858">
        <w:rPr>
          <w:lang w:bidi="ar-SA"/>
        </w:rPr>
        <w:t xml:space="preserve">that the </w:t>
      </w:r>
      <w:r w:rsidRPr="00822858">
        <w:rPr>
          <w:lang w:bidi="ar-SA"/>
        </w:rPr>
        <w:t>edible portions of zucchini/scallopini are botanically fruits, but are usually classed as vegetables in nutritional ta</w:t>
      </w:r>
      <w:r w:rsidR="00221E92" w:rsidRPr="00822858">
        <w:rPr>
          <w:lang w:bidi="ar-SA"/>
        </w:rPr>
        <w:t xml:space="preserve">bles. However, in the </w:t>
      </w:r>
      <w:r w:rsidR="00FF681A" w:rsidRPr="00CA7826">
        <w:rPr>
          <w:i/>
          <w:lang w:bidi="ar-SA"/>
        </w:rPr>
        <w:t>Australia New Zealand Food Standards Code</w:t>
      </w:r>
      <w:r w:rsidR="00FF681A" w:rsidRPr="00822858">
        <w:rPr>
          <w:lang w:bidi="ar-SA"/>
        </w:rPr>
        <w:t xml:space="preserve"> (the </w:t>
      </w:r>
      <w:r w:rsidR="00221E92" w:rsidRPr="00822858">
        <w:rPr>
          <w:lang w:bidi="ar-SA"/>
        </w:rPr>
        <w:t>Code</w:t>
      </w:r>
      <w:r w:rsidR="00FF681A" w:rsidRPr="00822858">
        <w:rPr>
          <w:lang w:bidi="ar-SA"/>
        </w:rPr>
        <w:t>)</w:t>
      </w:r>
      <w:r w:rsidR="00221E92" w:rsidRPr="00822858">
        <w:rPr>
          <w:lang w:bidi="ar-SA"/>
        </w:rPr>
        <w:t xml:space="preserve"> they</w:t>
      </w:r>
      <w:r w:rsidRPr="00822858">
        <w:rPr>
          <w:lang w:bidi="ar-SA"/>
        </w:rPr>
        <w:t xml:space="preserve"> are classified as </w:t>
      </w:r>
      <w:r w:rsidR="00C30426" w:rsidRPr="00822858">
        <w:rPr>
          <w:lang w:bidi="ar-SA"/>
        </w:rPr>
        <w:t xml:space="preserve">fruiting vegetables, </w:t>
      </w:r>
      <w:r w:rsidR="0070019E" w:rsidRPr="00822858">
        <w:rPr>
          <w:lang w:bidi="ar-SA"/>
        </w:rPr>
        <w:t xml:space="preserve">cucurbits </w:t>
      </w:r>
      <w:r w:rsidR="00C30426" w:rsidRPr="00822858">
        <w:rPr>
          <w:lang w:bidi="ar-SA"/>
        </w:rPr>
        <w:t xml:space="preserve">in Schedule 4 of Standard 1.4.2 </w:t>
      </w:r>
      <w:r w:rsidR="00451F77">
        <w:rPr>
          <w:lang w:bidi="ar-SA"/>
        </w:rPr>
        <w:t xml:space="preserve">– </w:t>
      </w:r>
      <w:r w:rsidR="00C30426" w:rsidRPr="00822858">
        <w:rPr>
          <w:lang w:bidi="ar-SA"/>
        </w:rPr>
        <w:t xml:space="preserve">Maximum Residue Limits. </w:t>
      </w:r>
      <w:r w:rsidR="005E3D35">
        <w:rPr>
          <w:lang w:bidi="ar-SA"/>
        </w:rPr>
        <w:t xml:space="preserve">However, to prevent any confusion in the public domain, in this assessment summary, </w:t>
      </w:r>
      <w:r w:rsidR="005E3D35" w:rsidRPr="00822858">
        <w:rPr>
          <w:lang w:bidi="ar-SA"/>
        </w:rPr>
        <w:t>zucchini</w:t>
      </w:r>
      <w:r w:rsidR="005E3D35">
        <w:rPr>
          <w:lang w:bidi="ar-SA"/>
        </w:rPr>
        <w:t xml:space="preserve"> (courgette</w:t>
      </w:r>
      <w:r w:rsidR="005E3D35" w:rsidRPr="00822858">
        <w:rPr>
          <w:lang w:bidi="ar-SA"/>
        </w:rPr>
        <w:t xml:space="preserve">) </w:t>
      </w:r>
      <w:r w:rsidR="005E3D35">
        <w:rPr>
          <w:lang w:bidi="ar-SA"/>
        </w:rPr>
        <w:t xml:space="preserve">and </w:t>
      </w:r>
      <w:r w:rsidR="005E3D35" w:rsidRPr="00822858">
        <w:rPr>
          <w:lang w:bidi="ar-SA"/>
        </w:rPr>
        <w:t>scallopini</w:t>
      </w:r>
      <w:r w:rsidR="005E3D35">
        <w:rPr>
          <w:lang w:bidi="ar-SA"/>
        </w:rPr>
        <w:t xml:space="preserve"> will be referred to as vegetables. </w:t>
      </w:r>
      <w:r w:rsidR="005F1A69" w:rsidRPr="00822858">
        <w:rPr>
          <w:lang w:bidi="ar-SA"/>
        </w:rPr>
        <w:t xml:space="preserve"> </w:t>
      </w:r>
    </w:p>
    <w:p w:rsidR="00026C80" w:rsidRDefault="00026C80" w:rsidP="0053464E">
      <w:pPr>
        <w:rPr>
          <w:lang w:bidi="ar-SA"/>
        </w:rPr>
      </w:pPr>
    </w:p>
    <w:p w:rsidR="00A13EFD" w:rsidRDefault="00A949BF" w:rsidP="0053464E">
      <w:pPr>
        <w:rPr>
          <w:lang w:bidi="ar-SA"/>
        </w:rPr>
      </w:pPr>
      <w:r>
        <w:rPr>
          <w:lang w:bidi="ar-SA"/>
        </w:rPr>
        <w:t>These fruits</w:t>
      </w:r>
      <w:r w:rsidR="00E54195">
        <w:rPr>
          <w:lang w:bidi="ar-SA"/>
        </w:rPr>
        <w:t xml:space="preserve"> </w:t>
      </w:r>
      <w:r>
        <w:rPr>
          <w:lang w:bidi="ar-SA"/>
        </w:rPr>
        <w:t>are potential hosts to fruit flies and other pests</w:t>
      </w:r>
      <w:r w:rsidR="00491D18">
        <w:rPr>
          <w:lang w:bidi="ar-SA"/>
        </w:rPr>
        <w:t xml:space="preserve">. The </w:t>
      </w:r>
      <w:r>
        <w:rPr>
          <w:lang w:bidi="ar-SA"/>
        </w:rPr>
        <w:t xml:space="preserve">Queensland fruit fly </w:t>
      </w:r>
      <w:r w:rsidR="00491D18">
        <w:rPr>
          <w:lang w:bidi="ar-SA"/>
        </w:rPr>
        <w:t xml:space="preserve">is </w:t>
      </w:r>
      <w:r>
        <w:rPr>
          <w:lang w:bidi="ar-SA"/>
        </w:rPr>
        <w:t>considered one of the world’s</w:t>
      </w:r>
      <w:r w:rsidR="00CF047E">
        <w:rPr>
          <w:lang w:bidi="ar-SA"/>
        </w:rPr>
        <w:t xml:space="preserve"> worst pests of fruiting crops and </w:t>
      </w:r>
      <w:r w:rsidR="00491D18">
        <w:rPr>
          <w:lang w:bidi="ar-SA"/>
        </w:rPr>
        <w:t xml:space="preserve">is </w:t>
      </w:r>
      <w:r w:rsidR="00CF047E">
        <w:rPr>
          <w:lang w:bidi="ar-SA"/>
        </w:rPr>
        <w:t xml:space="preserve">listed as a pest requiring treatment by most international and interstate markets trading in the movement of fresh fruit. </w:t>
      </w:r>
    </w:p>
    <w:p w:rsidR="00A13EFD" w:rsidRDefault="00A13EFD" w:rsidP="0053464E">
      <w:pPr>
        <w:rPr>
          <w:lang w:bidi="ar-SA"/>
        </w:rPr>
      </w:pPr>
    </w:p>
    <w:p w:rsidR="00EA3212" w:rsidRDefault="003B2C3C" w:rsidP="0053464E">
      <w:pPr>
        <w:rPr>
          <w:lang w:bidi="ar-SA"/>
        </w:rPr>
      </w:pPr>
      <w:r>
        <w:rPr>
          <w:lang w:bidi="ar-SA"/>
        </w:rPr>
        <w:t>The minimum dose requested for phytosanitary purposes is 150 Gray and</w:t>
      </w:r>
      <w:r w:rsidR="00A13EFD">
        <w:rPr>
          <w:lang w:bidi="ar-SA"/>
        </w:rPr>
        <w:t xml:space="preserve"> the maximum </w:t>
      </w:r>
    </w:p>
    <w:p w:rsidR="001520E7" w:rsidRPr="00A06770" w:rsidRDefault="00A13EFD" w:rsidP="0053464E">
      <w:pPr>
        <w:rPr>
          <w:lang w:bidi="ar-SA"/>
        </w:rPr>
      </w:pPr>
      <w:proofErr w:type="gramStart"/>
      <w:r>
        <w:rPr>
          <w:lang w:bidi="ar-SA"/>
        </w:rPr>
        <w:t>1 Kilo</w:t>
      </w:r>
      <w:r w:rsidR="001D3FBB">
        <w:rPr>
          <w:lang w:bidi="ar-SA"/>
        </w:rPr>
        <w:t>gray</w:t>
      </w:r>
      <w:r w:rsidR="00845AFC">
        <w:rPr>
          <w:lang w:bidi="ar-SA"/>
        </w:rPr>
        <w:t xml:space="preserve"> </w:t>
      </w:r>
      <w:r>
        <w:rPr>
          <w:lang w:bidi="ar-SA"/>
        </w:rPr>
        <w:t>(kGy)</w:t>
      </w:r>
      <w:r w:rsidR="00CC0F37">
        <w:rPr>
          <w:lang w:bidi="ar-SA"/>
        </w:rPr>
        <w:t>.</w:t>
      </w:r>
      <w:proofErr w:type="gramEnd"/>
      <w:r w:rsidR="00CC0F37">
        <w:rPr>
          <w:lang w:bidi="ar-SA"/>
        </w:rPr>
        <w:t xml:space="preserve"> These doses are </w:t>
      </w:r>
      <w:r>
        <w:rPr>
          <w:lang w:bidi="ar-SA"/>
        </w:rPr>
        <w:t xml:space="preserve">commensurate with dose ranges approved for </w:t>
      </w:r>
      <w:r w:rsidR="00377CC2">
        <w:rPr>
          <w:lang w:bidi="ar-SA"/>
        </w:rPr>
        <w:t xml:space="preserve">quarantine purposes of </w:t>
      </w:r>
      <w:r w:rsidR="002976FD">
        <w:rPr>
          <w:lang w:bidi="ar-SA"/>
        </w:rPr>
        <w:t xml:space="preserve">other fruits </w:t>
      </w:r>
      <w:r w:rsidR="000F5A68">
        <w:rPr>
          <w:lang w:bidi="ar-SA"/>
        </w:rPr>
        <w:t xml:space="preserve">and vegetables </w:t>
      </w:r>
      <w:r>
        <w:rPr>
          <w:lang w:bidi="ar-SA"/>
        </w:rPr>
        <w:t xml:space="preserve">in the </w:t>
      </w:r>
      <w:r w:rsidR="00377CC2">
        <w:rPr>
          <w:lang w:bidi="ar-SA"/>
        </w:rPr>
        <w:t xml:space="preserve">Code and in other countries. </w:t>
      </w:r>
    </w:p>
    <w:p w:rsidR="0053464E" w:rsidRPr="0053464E" w:rsidRDefault="00F33BB8" w:rsidP="00A56E34">
      <w:pPr>
        <w:pStyle w:val="Heading2"/>
      </w:pPr>
      <w:bookmarkStart w:id="18" w:name="_Toc300761892"/>
      <w:bookmarkStart w:id="19" w:name="_Toc300933421"/>
      <w:bookmarkStart w:id="20" w:name="_Toc396117775"/>
      <w:r>
        <w:t>1</w:t>
      </w:r>
      <w:r w:rsidR="00B033B0">
        <w:t>.3</w:t>
      </w:r>
      <w:r w:rsidR="00B033B0">
        <w:tab/>
        <w:t>The C</w:t>
      </w:r>
      <w:r w:rsidR="0053464E" w:rsidRPr="0053464E">
        <w:t>urrent Standard</w:t>
      </w:r>
      <w:bookmarkEnd w:id="18"/>
      <w:bookmarkEnd w:id="19"/>
      <w:bookmarkEnd w:id="20"/>
    </w:p>
    <w:p w:rsidR="00CB127F" w:rsidRPr="00CB127F" w:rsidRDefault="00CB127F" w:rsidP="00CB127F">
      <w:r w:rsidRPr="00CB127F">
        <w:t xml:space="preserve">Standard 1.5.3 prohibits the sale of irradiated foods unless permitted in the Standard. FSANZ is required to undertake a pre-market assessment before irradiated tomatoes and capsicums can be sold in Australia or New Zealand. </w:t>
      </w:r>
    </w:p>
    <w:p w:rsidR="00CB127F" w:rsidRPr="00CB127F" w:rsidRDefault="00CB127F" w:rsidP="00CB127F"/>
    <w:p w:rsidR="00A06770" w:rsidRDefault="00CB127F" w:rsidP="0053464E">
      <w:r w:rsidRPr="00CB127F">
        <w:t>The former Australia and New Zealand Food Standards Council (composed of Health Ministers from the Commonwealth, states and territories and New Zealand)</w:t>
      </w:r>
      <w:r w:rsidRPr="00CB127F">
        <w:rPr>
          <w:vertAlign w:val="superscript"/>
        </w:rPr>
        <w:footnoteReference w:id="4"/>
      </w:r>
      <w:r w:rsidR="00537675">
        <w:t xml:space="preserve"> approved two A</w:t>
      </w:r>
      <w:r w:rsidRPr="00CB127F">
        <w:t xml:space="preserve">pplications </w:t>
      </w:r>
      <w:r w:rsidR="00625EC7">
        <w:t xml:space="preserve">to irradiate </w:t>
      </w:r>
      <w:r w:rsidRPr="00CB127F">
        <w:t>herbs, spic</w:t>
      </w:r>
      <w:r w:rsidR="00625EC7">
        <w:t xml:space="preserve">es and herbal infusions (A413) and </w:t>
      </w:r>
      <w:r w:rsidRPr="00CB127F">
        <w:t>a range of tropical fruits (mango, breadfruit, carambola, custard apple, litchi, longan, mangosteen, papaya and rambutan) (A443). More recently</w:t>
      </w:r>
      <w:r w:rsidR="00470D52">
        <w:t>,</w:t>
      </w:r>
      <w:r w:rsidRPr="00CB127F">
        <w:t xml:space="preserve"> persimmons (A1038) were approved by the Australia and New Zealand Food Regulation</w:t>
      </w:r>
      <w:r>
        <w:t xml:space="preserve"> Ministerial Council and tomatoes and capsicums </w:t>
      </w:r>
      <w:r w:rsidR="00734DD4">
        <w:t xml:space="preserve">by the </w:t>
      </w:r>
      <w:r w:rsidR="009F67B9" w:rsidRPr="009F67B9">
        <w:t>Legislative and Gove</w:t>
      </w:r>
      <w:r w:rsidR="009F67B9">
        <w:t xml:space="preserve">rnance Forum on Food Regulation </w:t>
      </w:r>
      <w:r>
        <w:t xml:space="preserve">under Application A1069.  </w:t>
      </w:r>
    </w:p>
    <w:p w:rsidR="00537675" w:rsidRDefault="00537675" w:rsidP="0053464E">
      <w:r>
        <w:br w:type="page"/>
      </w:r>
    </w:p>
    <w:p w:rsidR="00A06770" w:rsidRPr="00BB4F5B" w:rsidRDefault="004A4B7A" w:rsidP="0053464E">
      <w:r w:rsidRPr="004A4B7A">
        <w:lastRenderedPageBreak/>
        <w:t xml:space="preserve">For </w:t>
      </w:r>
      <w:r w:rsidR="00777781">
        <w:t>more</w:t>
      </w:r>
      <w:r w:rsidRPr="004A4B7A">
        <w:t xml:space="preserve"> information on current permissions and consumption of irradiated foods in a range of countries, current </w:t>
      </w:r>
      <w:r w:rsidR="0025494C">
        <w:t>requirements for</w:t>
      </w:r>
      <w:r w:rsidRPr="004A4B7A">
        <w:t xml:space="preserve"> food irradiation in Australia and New Zealand and general information on consumer awareness, understanding and acceptance of food irradiation refer to </w:t>
      </w:r>
      <w:r w:rsidRPr="004A4B7A">
        <w:rPr>
          <w:b/>
        </w:rPr>
        <w:t xml:space="preserve">Supporting Document 1 (SD1). </w:t>
      </w:r>
    </w:p>
    <w:p w:rsidR="00AF387F" w:rsidRPr="00340849" w:rsidRDefault="00F33BB8" w:rsidP="00340849">
      <w:pPr>
        <w:pStyle w:val="Heading2"/>
      </w:pPr>
      <w:bookmarkStart w:id="21" w:name="_Toc286391007"/>
      <w:bookmarkStart w:id="22" w:name="_Toc300933423"/>
      <w:bookmarkStart w:id="23" w:name="_Toc396117776"/>
      <w:bookmarkStart w:id="24" w:name="_Toc175381432"/>
      <w:r w:rsidRPr="00340849">
        <w:t>1</w:t>
      </w:r>
      <w:r w:rsidR="00606C88" w:rsidRPr="00340849">
        <w:t>.4</w:t>
      </w:r>
      <w:r w:rsidR="001542D8" w:rsidRPr="00340849">
        <w:tab/>
      </w:r>
      <w:r w:rsidR="00741EFE" w:rsidRPr="00340849">
        <w:t>Reasons for accepting A</w:t>
      </w:r>
      <w:r w:rsidR="00AF387F" w:rsidRPr="00340849">
        <w:t>pplication</w:t>
      </w:r>
      <w:bookmarkEnd w:id="21"/>
      <w:bookmarkEnd w:id="22"/>
      <w:bookmarkEnd w:id="23"/>
      <w:r w:rsidR="00734DD4" w:rsidRPr="00340849">
        <w:t xml:space="preserve"> </w:t>
      </w:r>
    </w:p>
    <w:p w:rsidR="00DB0996" w:rsidRPr="009E15B2" w:rsidRDefault="00DB0996" w:rsidP="00DB0996">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bookmarkEnd w:id="24"/>
      <w:r w:rsidRPr="009E15B2">
        <w:t>The Application was accepted for assessment because:</w:t>
      </w:r>
    </w:p>
    <w:p w:rsidR="00DB0996" w:rsidRPr="009E15B2" w:rsidRDefault="00DB0996" w:rsidP="00DB0996"/>
    <w:p w:rsidR="00DB0996" w:rsidRPr="009E15B2" w:rsidRDefault="00DB0996" w:rsidP="00DB0996">
      <w:pPr>
        <w:pStyle w:val="FSBullet1"/>
        <w:numPr>
          <w:ilvl w:val="0"/>
          <w:numId w:val="6"/>
        </w:numPr>
        <w:ind w:left="567" w:hanging="567"/>
      </w:pPr>
      <w:r w:rsidRPr="009E15B2">
        <w:t>it complied with the procedural requirements under subsection 22(2)</w:t>
      </w:r>
    </w:p>
    <w:p w:rsidR="00734DD4" w:rsidRPr="007E1905" w:rsidRDefault="00DB0996" w:rsidP="00180C41">
      <w:pPr>
        <w:pStyle w:val="FSBullet1"/>
        <w:numPr>
          <w:ilvl w:val="0"/>
          <w:numId w:val="6"/>
        </w:numPr>
        <w:ind w:left="567" w:hanging="567"/>
      </w:pPr>
      <w:proofErr w:type="gramStart"/>
      <w:r w:rsidRPr="009E15B2">
        <w:t>it</w:t>
      </w:r>
      <w:proofErr w:type="gramEnd"/>
      <w:r w:rsidRPr="009E15B2">
        <w:t xml:space="preserve"> related to a matter that warranted the variation of a food regulatory measure.</w:t>
      </w:r>
    </w:p>
    <w:p w:rsidR="00DE79D9" w:rsidRDefault="00D3171B" w:rsidP="00DE79D9">
      <w:pPr>
        <w:pStyle w:val="Heading2"/>
      </w:pPr>
      <w:bookmarkStart w:id="32" w:name="_Toc396117777"/>
      <w:r>
        <w:t>1</w:t>
      </w:r>
      <w:r w:rsidR="00606C88">
        <w:t>.5</w:t>
      </w:r>
      <w:r w:rsidR="00DE79D9">
        <w:tab/>
        <w:t>Procedure for assessment</w:t>
      </w:r>
      <w:bookmarkEnd w:id="32"/>
    </w:p>
    <w:p w:rsidR="00DE79D9" w:rsidRPr="000458FB" w:rsidRDefault="00DE79D9" w:rsidP="00DE79D9">
      <w:r w:rsidRPr="000458FB">
        <w:t>The Application</w:t>
      </w:r>
      <w:r w:rsidR="00DB0996" w:rsidRPr="000458FB">
        <w:t xml:space="preserve"> </w:t>
      </w:r>
      <w:r w:rsidRPr="000458FB">
        <w:t xml:space="preserve">is being </w:t>
      </w:r>
      <w:r w:rsidR="00DB0996" w:rsidRPr="000458FB">
        <w:t xml:space="preserve">assessed under the </w:t>
      </w:r>
      <w:r w:rsidRPr="000458FB">
        <w:t>General</w:t>
      </w:r>
      <w:r w:rsidR="00DB0996" w:rsidRPr="000458FB">
        <w:t xml:space="preserve"> </w:t>
      </w:r>
      <w:r w:rsidRPr="000458FB">
        <w:t>Procedure.</w:t>
      </w:r>
    </w:p>
    <w:p w:rsidR="00DE79D9" w:rsidRPr="000458FB" w:rsidRDefault="00DE79D9" w:rsidP="00180C41"/>
    <w:p w:rsidR="00B57FF4" w:rsidRPr="00B57FF4" w:rsidRDefault="00D3171B" w:rsidP="00B57FF4">
      <w:pPr>
        <w:pStyle w:val="Heading1"/>
      </w:pPr>
      <w:bookmarkStart w:id="33" w:name="_Toc300933424"/>
      <w:bookmarkStart w:id="34" w:name="_Toc396117778"/>
      <w:r>
        <w:t>2</w:t>
      </w:r>
      <w:r w:rsidR="001542D8">
        <w:tab/>
      </w:r>
      <w:r w:rsidR="00350DBD">
        <w:t>S</w:t>
      </w:r>
      <w:r w:rsidR="00FB1533">
        <w:t>ummary of the a</w:t>
      </w:r>
      <w:r w:rsidR="00FD2FBE">
        <w:t>ssessment</w:t>
      </w:r>
      <w:bookmarkEnd w:id="25"/>
      <w:bookmarkEnd w:id="33"/>
      <w:bookmarkEnd w:id="34"/>
    </w:p>
    <w:p w:rsidR="004F69F6" w:rsidRPr="00932F14" w:rsidRDefault="00D3171B" w:rsidP="004646F8">
      <w:pPr>
        <w:pStyle w:val="Heading2"/>
      </w:pPr>
      <w:bookmarkStart w:id="35" w:name="_Toc286391009"/>
      <w:bookmarkStart w:id="36" w:name="_Toc300933425"/>
      <w:bookmarkStart w:id="37" w:name="_Toc396117779"/>
      <w:bookmarkStart w:id="38" w:name="_Toc120358583"/>
      <w:bookmarkStart w:id="39" w:name="_Toc175381440"/>
      <w:r>
        <w:t>2</w:t>
      </w:r>
      <w:r w:rsidR="00271F00">
        <w:t>.</w:t>
      </w:r>
      <w:r w:rsidR="004A4FDA">
        <w:t>1</w:t>
      </w:r>
      <w:r w:rsidR="00271F00">
        <w:tab/>
      </w:r>
      <w:r w:rsidR="004F69F6" w:rsidRPr="00932F14">
        <w:t xml:space="preserve">Risk </w:t>
      </w:r>
      <w:r w:rsidR="00741EFE">
        <w:t>a</w:t>
      </w:r>
      <w:r w:rsidR="004F69F6" w:rsidRPr="00932F14">
        <w:t>ssessment</w:t>
      </w:r>
      <w:bookmarkEnd w:id="35"/>
      <w:bookmarkEnd w:id="36"/>
      <w:bookmarkEnd w:id="37"/>
      <w:r w:rsidR="004F69F6" w:rsidRPr="00932F14">
        <w:t xml:space="preserve"> </w:t>
      </w:r>
      <w:bookmarkEnd w:id="38"/>
      <w:bookmarkEnd w:id="39"/>
    </w:p>
    <w:p w:rsidR="00584DB7" w:rsidRPr="00584DB7" w:rsidRDefault="00584DB7" w:rsidP="00584DB7">
      <w:pPr>
        <w:rPr>
          <w:b/>
        </w:rPr>
      </w:pPr>
      <w:r w:rsidRPr="00584DB7">
        <w:rPr>
          <w:rFonts w:cs="Arial"/>
        </w:rPr>
        <w:t xml:space="preserve">Full details of the risk assessment prepared in relation to this Application are provided in </w:t>
      </w:r>
      <w:r w:rsidRPr="00584DB7">
        <w:rPr>
          <w:b/>
        </w:rPr>
        <w:t xml:space="preserve">Supporting Document 2 (SD2). </w:t>
      </w:r>
    </w:p>
    <w:p w:rsidR="00584DB7" w:rsidRPr="00584DB7" w:rsidRDefault="00584DB7" w:rsidP="00584DB7">
      <w:pPr>
        <w:rPr>
          <w:rFonts w:cs="Arial"/>
        </w:rPr>
      </w:pPr>
    </w:p>
    <w:p w:rsidR="00783D6B" w:rsidRPr="00F13BC8" w:rsidRDefault="00584DB7" w:rsidP="00F13BC8">
      <w:pPr>
        <w:widowControl/>
        <w:rPr>
          <w:rFonts w:cs="Arial"/>
        </w:rPr>
      </w:pPr>
      <w:r w:rsidRPr="00584DB7">
        <w:rPr>
          <w:rFonts w:cs="Arial"/>
        </w:rPr>
        <w:t xml:space="preserve">The purpose of this risk assessment was to determine the technological </w:t>
      </w:r>
      <w:r w:rsidR="00EA3212">
        <w:t xml:space="preserve">(phytosanitary) </w:t>
      </w:r>
      <w:r w:rsidRPr="00584DB7">
        <w:rPr>
          <w:rFonts w:cs="Arial"/>
        </w:rPr>
        <w:t>need to i</w:t>
      </w:r>
      <w:r w:rsidR="00EB5833">
        <w:rPr>
          <w:rFonts w:cs="Arial"/>
        </w:rPr>
        <w:t>rradia</w:t>
      </w:r>
      <w:r w:rsidR="00E54195">
        <w:rPr>
          <w:rFonts w:cs="Arial"/>
        </w:rPr>
        <w:t xml:space="preserve">te the fruits </w:t>
      </w:r>
      <w:r w:rsidR="005E3D35">
        <w:rPr>
          <w:rFonts w:cs="Arial"/>
        </w:rPr>
        <w:t xml:space="preserve">and vegetables </w:t>
      </w:r>
      <w:r w:rsidR="00470D52">
        <w:rPr>
          <w:rFonts w:cs="Arial"/>
        </w:rPr>
        <w:t xml:space="preserve">in the current </w:t>
      </w:r>
      <w:r w:rsidR="005E3D35">
        <w:rPr>
          <w:rFonts w:cs="Arial"/>
        </w:rPr>
        <w:t>A</w:t>
      </w:r>
      <w:r w:rsidR="00470D52">
        <w:rPr>
          <w:rFonts w:cs="Arial"/>
        </w:rPr>
        <w:t xml:space="preserve">pplication </w:t>
      </w:r>
      <w:r w:rsidRPr="00584DB7">
        <w:rPr>
          <w:rFonts w:cs="Arial"/>
        </w:rPr>
        <w:t>and</w:t>
      </w:r>
      <w:r w:rsidR="00A6652C">
        <w:rPr>
          <w:rFonts w:cs="Arial"/>
        </w:rPr>
        <w:t xml:space="preserve"> whether these foods</w:t>
      </w:r>
      <w:r w:rsidR="00470D52">
        <w:rPr>
          <w:rFonts w:cs="Arial"/>
        </w:rPr>
        <w:t>,</w:t>
      </w:r>
      <w:r w:rsidR="00A6652C">
        <w:rPr>
          <w:rFonts w:cs="Arial"/>
        </w:rPr>
        <w:t xml:space="preserve"> </w:t>
      </w:r>
      <w:r w:rsidRPr="00584DB7">
        <w:rPr>
          <w:rFonts w:cs="Arial"/>
        </w:rPr>
        <w:t>irradiated up to a maximum dose of 1 kGy</w:t>
      </w:r>
      <w:r w:rsidR="00470D52">
        <w:rPr>
          <w:rFonts w:cs="Arial"/>
        </w:rPr>
        <w:t>,</w:t>
      </w:r>
      <w:r w:rsidRPr="00584DB7">
        <w:rPr>
          <w:rFonts w:cs="Arial"/>
        </w:rPr>
        <w:t xml:space="preserve"> are as safe and nutritious as non-i</w:t>
      </w:r>
      <w:r w:rsidR="00A6652C">
        <w:rPr>
          <w:rFonts w:cs="Arial"/>
        </w:rPr>
        <w:t>rradiated foods</w:t>
      </w:r>
      <w:r w:rsidRPr="00584DB7">
        <w:rPr>
          <w:rFonts w:cs="Arial"/>
        </w:rPr>
        <w:t>. The risk assessment takes account of the previous considerations and includes an assessment of data on the safety</w:t>
      </w:r>
      <w:r w:rsidR="00441235">
        <w:rPr>
          <w:rFonts w:cs="Arial"/>
        </w:rPr>
        <w:t xml:space="preserve"> and nutritional adequacy</w:t>
      </w:r>
      <w:r w:rsidRPr="00584DB7">
        <w:rPr>
          <w:rFonts w:cs="Arial"/>
        </w:rPr>
        <w:t xml:space="preserve"> of irradiated foods that has become available since the as</w:t>
      </w:r>
      <w:r w:rsidR="00EB5833">
        <w:rPr>
          <w:rFonts w:cs="Arial"/>
        </w:rPr>
        <w:t xml:space="preserve">sessments conducted in 2002, </w:t>
      </w:r>
      <w:r w:rsidRPr="00584DB7">
        <w:rPr>
          <w:rFonts w:cs="Arial"/>
        </w:rPr>
        <w:t>2011</w:t>
      </w:r>
      <w:r w:rsidR="00EB5833">
        <w:rPr>
          <w:rFonts w:cs="Arial"/>
        </w:rPr>
        <w:t xml:space="preserve"> and 2013</w:t>
      </w:r>
      <w:r w:rsidRPr="00584DB7">
        <w:rPr>
          <w:rFonts w:cs="Arial"/>
        </w:rPr>
        <w:t xml:space="preserve">. </w:t>
      </w:r>
    </w:p>
    <w:p w:rsidR="00F13BC8" w:rsidRPr="00F13BC8" w:rsidRDefault="00F13BC8" w:rsidP="00F13BC8">
      <w:pPr>
        <w:pStyle w:val="Heading3"/>
      </w:pPr>
      <w:bookmarkStart w:id="40" w:name="_Toc334513806"/>
      <w:bookmarkStart w:id="41" w:name="_Toc351105742"/>
      <w:bookmarkStart w:id="42" w:name="_Toc396117780"/>
      <w:r>
        <w:t>2.1</w:t>
      </w:r>
      <w:r w:rsidR="003F08E7">
        <w:t>.1</w:t>
      </w:r>
      <w:r w:rsidRPr="00F13BC8">
        <w:tab/>
        <w:t xml:space="preserve">Technological </w:t>
      </w:r>
      <w:r w:rsidR="00EA3212">
        <w:t xml:space="preserve">(phytosanitary) </w:t>
      </w:r>
      <w:r w:rsidRPr="00F13BC8">
        <w:t>need and efficacy of the irradiation process</w:t>
      </w:r>
      <w:bookmarkEnd w:id="40"/>
      <w:bookmarkEnd w:id="41"/>
      <w:bookmarkEnd w:id="42"/>
    </w:p>
    <w:p w:rsidR="007139CC" w:rsidRPr="00BB315D" w:rsidRDefault="007139CC" w:rsidP="007139CC">
      <w:pPr>
        <w:pStyle w:val="Bodystyle"/>
      </w:pPr>
      <w:r w:rsidRPr="00BB315D">
        <w:t>Several approved options exist for phytosanitary treatments of these fruits</w:t>
      </w:r>
      <w:r w:rsidR="00250C1C" w:rsidRPr="00250C1C">
        <w:rPr>
          <w:rFonts w:cs="Arial"/>
        </w:rPr>
        <w:t xml:space="preserve"> </w:t>
      </w:r>
      <w:r w:rsidR="00250C1C">
        <w:rPr>
          <w:rFonts w:cs="Arial"/>
        </w:rPr>
        <w:t>and vegetables</w:t>
      </w:r>
      <w:r w:rsidRPr="00BB315D">
        <w:t xml:space="preserve">. Among the most commonly used are pre and post-harvest treatments with insecticides. Following the review of dimethoate and fenthion use by the Australian Pesticides and Veterinary Medicines Authority (APVMA), many phytosanitary uses were lost or restricted. </w:t>
      </w:r>
    </w:p>
    <w:p w:rsidR="00F13BC8" w:rsidRPr="00F13BC8" w:rsidRDefault="00F13BC8" w:rsidP="00F13BC8">
      <w:r w:rsidRPr="00F13BC8">
        <w:t>Disinfest</w:t>
      </w:r>
      <w:r w:rsidR="00E54195">
        <w:t xml:space="preserve">ation </w:t>
      </w:r>
      <w:r w:rsidR="00470D52">
        <w:t xml:space="preserve">of </w:t>
      </w:r>
      <w:r w:rsidR="00E54195">
        <w:t xml:space="preserve">fruits </w:t>
      </w:r>
      <w:r w:rsidR="00250C1C">
        <w:rPr>
          <w:rFonts w:cs="Arial"/>
        </w:rPr>
        <w:t>and vegetables</w:t>
      </w:r>
      <w:r w:rsidR="00250C1C" w:rsidRPr="00F13BC8">
        <w:t xml:space="preserve"> </w:t>
      </w:r>
      <w:r w:rsidRPr="00F13BC8">
        <w:t>by irradiation is a valid treatment for quarantine purposes and meets the requirements of a technological need (pest disinfestation) under the Standard. Insect pests of quarantine significance are a major barrier in gaining access to some markets. The International Plant Protection Convent</w:t>
      </w:r>
      <w:r w:rsidR="0088656A">
        <w:t xml:space="preserve">ion (IPPC), Codex Alimentarius and </w:t>
      </w:r>
      <w:r w:rsidRPr="00F13BC8">
        <w:t>quarantine agencies in Australia, New Zealand and the USA, endorse irradiation as a legitimate phytosanitary treatment.</w:t>
      </w:r>
    </w:p>
    <w:p w:rsidR="00F13BC8" w:rsidRPr="00F13BC8" w:rsidRDefault="00F13BC8" w:rsidP="00F13BC8"/>
    <w:p w:rsidR="00F13BC8" w:rsidRPr="00F13BC8" w:rsidRDefault="00F13BC8" w:rsidP="00F13BC8">
      <w:pPr>
        <w:rPr>
          <w:rFonts w:cs="Arial"/>
        </w:rPr>
      </w:pPr>
      <w:r>
        <w:rPr>
          <w:rFonts w:cs="Arial"/>
        </w:rPr>
        <w:t xml:space="preserve">Both </w:t>
      </w:r>
      <w:r w:rsidR="00470D52">
        <w:t>the Commonwealth Department of Agriculture</w:t>
      </w:r>
      <w:r>
        <w:t xml:space="preserve"> </w:t>
      </w:r>
      <w:r w:rsidRPr="00F13BC8">
        <w:rPr>
          <w:rFonts w:cs="Arial"/>
          <w:lang w:eastAsia="en-GB"/>
        </w:rPr>
        <w:t xml:space="preserve">and the </w:t>
      </w:r>
      <w:r w:rsidRPr="00F13BC8">
        <w:rPr>
          <w:rFonts w:cs="Arial"/>
        </w:rPr>
        <w:t>N</w:t>
      </w:r>
      <w:r w:rsidR="00451F77">
        <w:rPr>
          <w:rFonts w:cs="Arial"/>
        </w:rPr>
        <w:t xml:space="preserve">ew </w:t>
      </w:r>
      <w:r w:rsidRPr="00F13BC8">
        <w:rPr>
          <w:rFonts w:cs="Arial"/>
        </w:rPr>
        <w:t>Z</w:t>
      </w:r>
      <w:r w:rsidR="00451F77">
        <w:rPr>
          <w:rFonts w:cs="Arial"/>
        </w:rPr>
        <w:t>ealand</w:t>
      </w:r>
      <w:r w:rsidRPr="00F13BC8">
        <w:rPr>
          <w:rFonts w:cs="Arial"/>
        </w:rPr>
        <w:t xml:space="preserve"> Ministry for Primary Industries (NZMPI) </w:t>
      </w:r>
      <w:r>
        <w:rPr>
          <w:rFonts w:cs="Arial"/>
        </w:rPr>
        <w:t xml:space="preserve">have previously </w:t>
      </w:r>
      <w:r w:rsidRPr="00F13BC8">
        <w:rPr>
          <w:rFonts w:cs="Arial"/>
        </w:rPr>
        <w:t xml:space="preserve">provided letters to FSANZ endorsing irradiation as an effective quarantine treatment for fruit fly and other pests that are of quarantine concern to Australia and New Zealand. </w:t>
      </w:r>
    </w:p>
    <w:p w:rsidR="00F13BC8" w:rsidRPr="00F13BC8" w:rsidRDefault="00F13BC8" w:rsidP="00F13BC8">
      <w:pPr>
        <w:rPr>
          <w:rFonts w:cs="Arial"/>
          <w:lang w:eastAsia="en-GB"/>
        </w:rPr>
      </w:pPr>
    </w:p>
    <w:p w:rsidR="00537675" w:rsidRDefault="00F13BC8" w:rsidP="00F13BC8">
      <w:r w:rsidRPr="00F13BC8">
        <w:rPr>
          <w:rFonts w:cs="Arial"/>
          <w:lang w:eastAsia="en-GB"/>
        </w:rPr>
        <w:t xml:space="preserve">However, both </w:t>
      </w:r>
      <w:r w:rsidR="00B50C83">
        <w:rPr>
          <w:rFonts w:cs="Arial"/>
          <w:lang w:eastAsia="en-GB"/>
        </w:rPr>
        <w:t xml:space="preserve">the Department of Agriculture </w:t>
      </w:r>
      <w:r w:rsidRPr="00F13BC8">
        <w:rPr>
          <w:rFonts w:cs="Arial"/>
          <w:lang w:eastAsia="en-GB"/>
        </w:rPr>
        <w:t xml:space="preserve">and the </w:t>
      </w:r>
      <w:r w:rsidRPr="00F13BC8">
        <w:t>NZMPI will still need to independently perform an import risk assessment (for quarantine purposes) on irrad</w:t>
      </w:r>
      <w:r>
        <w:t>iation of these fruits</w:t>
      </w:r>
      <w:r w:rsidRPr="00F13BC8">
        <w:t xml:space="preserve"> </w:t>
      </w:r>
      <w:r w:rsidR="00250C1C">
        <w:rPr>
          <w:rFonts w:cs="Arial"/>
        </w:rPr>
        <w:t>and vegetables</w:t>
      </w:r>
      <w:r w:rsidR="00250C1C" w:rsidRPr="00F13BC8">
        <w:t xml:space="preserve"> </w:t>
      </w:r>
      <w:r w:rsidRPr="00F13BC8">
        <w:t>specifically for food imported into Australia or New Zealand. These assessments are separate from the food standards approval process.</w:t>
      </w:r>
      <w:r w:rsidR="00537675">
        <w:br w:type="page"/>
      </w:r>
    </w:p>
    <w:p w:rsidR="00F13BC8" w:rsidRPr="00F13BC8" w:rsidRDefault="003F08E7" w:rsidP="009C0114">
      <w:pPr>
        <w:pStyle w:val="Heading3"/>
      </w:pPr>
      <w:bookmarkStart w:id="43" w:name="_Toc334513807"/>
      <w:bookmarkStart w:id="44" w:name="_Toc351105743"/>
      <w:bookmarkStart w:id="45" w:name="_Toc396117781"/>
      <w:r>
        <w:lastRenderedPageBreak/>
        <w:t>2.1.2</w:t>
      </w:r>
      <w:r w:rsidR="00F13BC8" w:rsidRPr="00F13BC8">
        <w:tab/>
        <w:t>Safety and nutritional content of irradiated foods</w:t>
      </w:r>
      <w:bookmarkEnd w:id="43"/>
      <w:bookmarkEnd w:id="44"/>
      <w:bookmarkEnd w:id="45"/>
      <w:r w:rsidR="00F13BC8" w:rsidRPr="00F13BC8">
        <w:t xml:space="preserve"> </w:t>
      </w:r>
    </w:p>
    <w:p w:rsidR="007139CC" w:rsidRPr="00584DB7" w:rsidRDefault="007139CC" w:rsidP="007139CC">
      <w:pPr>
        <w:widowControl/>
        <w:rPr>
          <w:rFonts w:cs="Arial"/>
        </w:rPr>
      </w:pPr>
      <w:r w:rsidRPr="00092C38">
        <w:rPr>
          <w:rFonts w:cs="Arial"/>
        </w:rPr>
        <w:t>FSANZ has previously assessed the technological need, safety and nutrient profile of various irradiated tropical fruits, persimmons, tomatoes and capsicums. These assessments were conducted in 2002</w:t>
      </w:r>
      <w:r w:rsidRPr="00092C38">
        <w:rPr>
          <w:rStyle w:val="FootnoteReference"/>
          <w:rFonts w:cs="Arial"/>
        </w:rPr>
        <w:footnoteReference w:id="5"/>
      </w:r>
      <w:r w:rsidRPr="00092C38">
        <w:rPr>
          <w:rFonts w:cs="Arial"/>
        </w:rPr>
        <w:t>, 2011</w:t>
      </w:r>
      <w:r w:rsidRPr="00092C38">
        <w:rPr>
          <w:rStyle w:val="FootnoteReference"/>
          <w:rFonts w:cs="Arial"/>
        </w:rPr>
        <w:footnoteReference w:id="6"/>
      </w:r>
      <w:r w:rsidRPr="00092C38">
        <w:rPr>
          <w:rFonts w:cs="Arial"/>
        </w:rPr>
        <w:t>, and 2013</w:t>
      </w:r>
      <w:r w:rsidRPr="00092C38">
        <w:rPr>
          <w:rStyle w:val="FootnoteReference"/>
          <w:rFonts w:cs="Arial"/>
        </w:rPr>
        <w:footnoteReference w:id="7"/>
      </w:r>
      <w:r w:rsidRPr="00092C38">
        <w:rPr>
          <w:rFonts w:cs="Arial"/>
        </w:rPr>
        <w:t>, respectively. FSANZ concluded that there was an established need to irradiate tropical fruits, persimmons and tomatoes and capsicums and that there were no public health and safety issues associated with their consumption when irradiated up to a maximum dose of 1 kGy.</w:t>
      </w:r>
      <w:r w:rsidRPr="00584DB7">
        <w:rPr>
          <w:rFonts w:cs="Arial"/>
        </w:rPr>
        <w:t xml:space="preserve"> </w:t>
      </w:r>
    </w:p>
    <w:p w:rsidR="007139CC" w:rsidRDefault="007139CC" w:rsidP="00F13BC8"/>
    <w:p w:rsidR="00263766" w:rsidRDefault="00263766" w:rsidP="00263766">
      <w:r>
        <w:t xml:space="preserve">In February 2014 FSANZ published a review of the published literature on the nutritional impact of </w:t>
      </w:r>
      <w:r w:rsidRPr="00263766">
        <w:t>phytosanitary irradiation of fruits and vegetables</w:t>
      </w:r>
      <w:r>
        <w:t xml:space="preserve"> and concluded that phytosanitary doses of irradiation</w:t>
      </w:r>
      <w:r w:rsidR="00C268A5" w:rsidRPr="00C268A5">
        <w:t xml:space="preserve"> </w:t>
      </w:r>
      <w:r w:rsidR="00C268A5" w:rsidRPr="00F96D31">
        <w:t>do not pose a nutritional risk to the Australian and New Zealand populations</w:t>
      </w:r>
      <w:r w:rsidR="00986E92">
        <w:rPr>
          <w:rStyle w:val="FootnoteReference"/>
        </w:rPr>
        <w:footnoteReference w:id="8"/>
      </w:r>
      <w:r w:rsidR="00C268A5">
        <w:t xml:space="preserve">. </w:t>
      </w:r>
    </w:p>
    <w:p w:rsidR="00F96D31" w:rsidRDefault="00F96D31" w:rsidP="00787C0D"/>
    <w:p w:rsidR="00092C38" w:rsidRPr="001620AB" w:rsidRDefault="00092C38" w:rsidP="00092C38">
      <w:r w:rsidRPr="001620AB">
        <w:t>There are negligible</w:t>
      </w:r>
      <w:r>
        <w:t xml:space="preserve"> risks to</w:t>
      </w:r>
      <w:r w:rsidRPr="001620AB">
        <w:t xml:space="preserve"> public health and safety associated with the consumption of </w:t>
      </w:r>
      <w:r>
        <w:t>the specified fruits</w:t>
      </w:r>
      <w:r w:rsidRPr="001620AB">
        <w:t xml:space="preserve"> </w:t>
      </w:r>
      <w:r w:rsidR="00250C1C">
        <w:rPr>
          <w:rFonts w:cs="Arial"/>
        </w:rPr>
        <w:t>and vegetables</w:t>
      </w:r>
      <w:r w:rsidR="00250C1C" w:rsidRPr="001620AB">
        <w:t xml:space="preserve"> </w:t>
      </w:r>
      <w:r w:rsidRPr="001620AB">
        <w:t>which have been irradiated up to a maximum dose of 1 kGy. This conclusion is based on the following considerations:</w:t>
      </w:r>
    </w:p>
    <w:p w:rsidR="00092C38" w:rsidRPr="001620AB" w:rsidRDefault="00092C38" w:rsidP="00092C38"/>
    <w:p w:rsidR="00092C38" w:rsidRDefault="00092C38" w:rsidP="00092C38">
      <w:pPr>
        <w:pStyle w:val="FSBullet1"/>
        <w:widowControl w:val="0"/>
        <w:numPr>
          <w:ilvl w:val="0"/>
          <w:numId w:val="1"/>
        </w:numPr>
        <w:ind w:left="567" w:hanging="567"/>
      </w:pPr>
      <w:r w:rsidRPr="001620AB">
        <w:t>Compounds potentially formed during food irradiation, such as 2-alkylcyclobutanones (2-ACBs), are found naturally in non-irradiated food.</w:t>
      </w:r>
      <w:r>
        <w:t xml:space="preserve"> </w:t>
      </w:r>
      <w:r w:rsidRPr="001620AB">
        <w:t xml:space="preserve">There is a low potential to generate 2-ACBs because of the low lipid content of </w:t>
      </w:r>
      <w:r>
        <w:t>the specified fruits</w:t>
      </w:r>
      <w:r w:rsidR="00250C1C" w:rsidRPr="00250C1C">
        <w:t xml:space="preserve"> </w:t>
      </w:r>
      <w:r w:rsidR="00250C1C">
        <w:t>and vegetables</w:t>
      </w:r>
      <w:r w:rsidRPr="001620AB">
        <w:t>.</w:t>
      </w:r>
    </w:p>
    <w:p w:rsidR="00537675" w:rsidRPr="00537675" w:rsidRDefault="00537675" w:rsidP="00537675">
      <w:pPr>
        <w:rPr>
          <w:lang w:bidi="ar-SA"/>
        </w:rPr>
      </w:pPr>
    </w:p>
    <w:p w:rsidR="00CA4765" w:rsidRDefault="00CA4765" w:rsidP="00CA4765">
      <w:pPr>
        <w:pStyle w:val="FSBullet"/>
        <w:rPr>
          <w:lang w:bidi="ar-SA"/>
        </w:rPr>
      </w:pPr>
      <w:r w:rsidRPr="00CA4765">
        <w:rPr>
          <w:lang w:bidi="ar-SA"/>
        </w:rPr>
        <w:t xml:space="preserve">Furan, a volatile genotoxic carcinogen in experimental animals, was detected at low levels in grapes irradiated at 5 kGy (5 times higher than the maximum dose requested in this application), but not in other fruits </w:t>
      </w:r>
      <w:r w:rsidR="00250C1C">
        <w:t>and vegetables</w:t>
      </w:r>
      <w:r w:rsidR="00250C1C" w:rsidRPr="00CA4765">
        <w:rPr>
          <w:lang w:bidi="ar-SA"/>
        </w:rPr>
        <w:t xml:space="preserve"> </w:t>
      </w:r>
      <w:r w:rsidRPr="00CA4765">
        <w:rPr>
          <w:lang w:bidi="ar-SA"/>
        </w:rPr>
        <w:t>(Limit of Quantitation=1 ppb). No data was available for fruit irradiated at 1 kGy but the amount of furan present would be expected to be lower. Dietary surveys in Europe show that many non-irradiated foods contain furans at levels comparable to grapes irradiated at 5 kGy.</w:t>
      </w:r>
    </w:p>
    <w:p w:rsidR="00537675" w:rsidRPr="00537675" w:rsidRDefault="00537675" w:rsidP="00537675">
      <w:pPr>
        <w:rPr>
          <w:lang w:bidi="ar-SA"/>
        </w:rPr>
      </w:pPr>
    </w:p>
    <w:p w:rsidR="00092C38" w:rsidRDefault="00092C38" w:rsidP="00092C38">
      <w:pPr>
        <w:pStyle w:val="FSBullet1"/>
        <w:widowControl w:val="0"/>
        <w:numPr>
          <w:ilvl w:val="0"/>
          <w:numId w:val="1"/>
        </w:numPr>
        <w:ind w:left="567" w:hanging="567"/>
      </w:pPr>
      <w:r w:rsidRPr="001620AB">
        <w:t>Available data indicate that the carbohydrate, fat, protein and mineral content of foods are unaffected by irradiation at doses up to 1 kGy.</w:t>
      </w:r>
    </w:p>
    <w:p w:rsidR="00537675" w:rsidRPr="00537675" w:rsidRDefault="00537675" w:rsidP="00537675">
      <w:pPr>
        <w:rPr>
          <w:lang w:bidi="ar-SA"/>
        </w:rPr>
      </w:pPr>
    </w:p>
    <w:p w:rsidR="00092C38" w:rsidRDefault="00092C38" w:rsidP="00092C38">
      <w:pPr>
        <w:pStyle w:val="FSBullet1"/>
        <w:widowControl w:val="0"/>
        <w:numPr>
          <w:ilvl w:val="0"/>
          <w:numId w:val="1"/>
        </w:numPr>
        <w:ind w:left="567" w:hanging="567"/>
      </w:pPr>
      <w:r>
        <w:t xml:space="preserve">For </w:t>
      </w:r>
      <w:r w:rsidRPr="008663D9">
        <w:t xml:space="preserve">irradiated and non-irradiated fruit </w:t>
      </w:r>
      <w:r w:rsidR="00250C1C">
        <w:t xml:space="preserve">and vegetables </w:t>
      </w:r>
      <w:r>
        <w:t>the d</w:t>
      </w:r>
      <w:r w:rsidRPr="001620AB">
        <w:t>ifferences in vitamin concentrations</w:t>
      </w:r>
      <w:r>
        <w:t>,</w:t>
      </w:r>
      <w:r w:rsidRPr="001620AB">
        <w:t xml:space="preserve"> </w:t>
      </w:r>
      <w:r>
        <w:t>including vitamin C</w:t>
      </w:r>
      <w:r w:rsidRPr="001620AB">
        <w:t xml:space="preserve"> are </w:t>
      </w:r>
      <w:r>
        <w:t xml:space="preserve">generally </w:t>
      </w:r>
      <w:r w:rsidRPr="001620AB">
        <w:t xml:space="preserve">within the range of </w:t>
      </w:r>
      <w:r>
        <w:t xml:space="preserve">natural variation </w:t>
      </w:r>
      <w:r w:rsidRPr="001620AB">
        <w:t>that normally occur</w:t>
      </w:r>
      <w:r>
        <w:t>s</w:t>
      </w:r>
      <w:r w:rsidRPr="001620AB">
        <w:t xml:space="preserve"> </w:t>
      </w:r>
      <w:r>
        <w:t>with different cultivars, seasons, growing conditions and post-harvest storage and processing</w:t>
      </w:r>
      <w:r w:rsidRPr="001620AB">
        <w:t xml:space="preserve">. </w:t>
      </w:r>
    </w:p>
    <w:p w:rsidR="00537675" w:rsidRPr="00537675" w:rsidRDefault="00537675" w:rsidP="00537675">
      <w:pPr>
        <w:rPr>
          <w:lang w:bidi="ar-SA"/>
        </w:rPr>
      </w:pPr>
    </w:p>
    <w:p w:rsidR="00092C38" w:rsidRDefault="00092C38" w:rsidP="00092C38">
      <w:pPr>
        <w:pStyle w:val="FSBullet1"/>
        <w:widowControl w:val="0"/>
        <w:numPr>
          <w:ilvl w:val="0"/>
          <w:numId w:val="1"/>
        </w:numPr>
        <w:ind w:left="567" w:hanging="567"/>
      </w:pPr>
      <w:r w:rsidRPr="001620AB">
        <w:t>The safety of irradiated food has been extensively assessed by national regulators and international scientific bodies.</w:t>
      </w:r>
      <w:r w:rsidRPr="000F57BC">
        <w:t xml:space="preserve"> The weight of scientific opinion is that irradiated food is safe for consumption when irradiated at doses necessary to achieve the intended technological function and in accordance with good irradiation practice</w:t>
      </w:r>
      <w:r w:rsidR="00D807B9">
        <w:t xml:space="preserve">. </w:t>
      </w:r>
    </w:p>
    <w:p w:rsidR="00537675" w:rsidRPr="00537675" w:rsidRDefault="00537675" w:rsidP="00537675">
      <w:pPr>
        <w:rPr>
          <w:lang w:bidi="ar-SA"/>
        </w:rPr>
      </w:pPr>
    </w:p>
    <w:p w:rsidR="00D807B9" w:rsidRDefault="00092C38" w:rsidP="00D807B9">
      <w:pPr>
        <w:pStyle w:val="FSBullet1"/>
        <w:widowControl w:val="0"/>
        <w:numPr>
          <w:ilvl w:val="0"/>
          <w:numId w:val="1"/>
        </w:numPr>
        <w:ind w:left="567" w:hanging="567"/>
      </w:pPr>
      <w:r w:rsidRPr="001620AB">
        <w:t>There is a history of safe consumption of irr</w:t>
      </w:r>
      <w:r>
        <w:t>adiated food in many countries.</w:t>
      </w:r>
    </w:p>
    <w:p w:rsidR="00537675" w:rsidRPr="00537675" w:rsidRDefault="00537675" w:rsidP="00537675">
      <w:pPr>
        <w:rPr>
          <w:lang w:bidi="ar-SA"/>
        </w:rPr>
      </w:pPr>
    </w:p>
    <w:p w:rsidR="00D807B9" w:rsidRDefault="00D807B9" w:rsidP="00D807B9">
      <w:pPr>
        <w:pStyle w:val="FSBullet1"/>
        <w:widowControl w:val="0"/>
        <w:numPr>
          <w:ilvl w:val="0"/>
          <w:numId w:val="1"/>
        </w:numPr>
        <w:ind w:left="567" w:hanging="567"/>
      </w:pPr>
      <w:r w:rsidRPr="00D807B9">
        <w:t xml:space="preserve">Adverse effects reported in cats and dogs following exclusive consumption of specific brands of pet foods irradiated at 50 kGy are unlikely to be relevant for humans.  </w:t>
      </w:r>
    </w:p>
    <w:p w:rsidR="00537675" w:rsidRDefault="00537675" w:rsidP="00537675">
      <w:pPr>
        <w:rPr>
          <w:lang w:bidi="ar-SA"/>
        </w:rPr>
      </w:pPr>
      <w:r>
        <w:rPr>
          <w:lang w:bidi="ar-SA"/>
        </w:rPr>
        <w:br w:type="page"/>
      </w:r>
    </w:p>
    <w:p w:rsidR="004F69F6" w:rsidRPr="00932F14" w:rsidRDefault="00D3171B" w:rsidP="004646F8">
      <w:pPr>
        <w:pStyle w:val="Heading2"/>
      </w:pPr>
      <w:bookmarkStart w:id="46" w:name="_Toc175381442"/>
      <w:bookmarkStart w:id="47" w:name="_Toc286391010"/>
      <w:bookmarkStart w:id="48" w:name="_Toc300933426"/>
      <w:bookmarkStart w:id="49" w:name="_Toc396117783"/>
      <w:r>
        <w:lastRenderedPageBreak/>
        <w:t>2</w:t>
      </w:r>
      <w:r w:rsidR="0045556F">
        <w:t>.</w:t>
      </w:r>
      <w:r w:rsidR="00DB5DB2">
        <w:t>2</w:t>
      </w:r>
      <w:r w:rsidR="00271F00">
        <w:tab/>
      </w:r>
      <w:bookmarkEnd w:id="46"/>
      <w:bookmarkEnd w:id="47"/>
      <w:bookmarkEnd w:id="48"/>
      <w:r w:rsidR="0045556F">
        <w:t>R</w:t>
      </w:r>
      <w:r w:rsidR="00707E72">
        <w:t>isk m</w:t>
      </w:r>
      <w:r w:rsidR="008A35FB">
        <w:t>anagement</w:t>
      </w:r>
      <w:bookmarkEnd w:id="49"/>
    </w:p>
    <w:p w:rsidR="002B131C" w:rsidRPr="003A54EE" w:rsidRDefault="002B131C" w:rsidP="002B131C">
      <w:pPr>
        <w:rPr>
          <w:rFonts w:cs="Arial"/>
        </w:rPr>
      </w:pPr>
      <w:bookmarkStart w:id="50" w:name="_Toc300761910"/>
      <w:r>
        <w:rPr>
          <w:rFonts w:cs="Arial"/>
        </w:rPr>
        <w:t xml:space="preserve">Based on </w:t>
      </w:r>
      <w:r w:rsidRPr="003A54EE">
        <w:rPr>
          <w:rFonts w:cs="Arial"/>
        </w:rPr>
        <w:t xml:space="preserve">the risk assessment and consideration of </w:t>
      </w:r>
      <w:r>
        <w:rPr>
          <w:rFonts w:cs="Arial"/>
        </w:rPr>
        <w:t xml:space="preserve">other </w:t>
      </w:r>
      <w:r w:rsidRPr="003A54EE">
        <w:rPr>
          <w:rFonts w:cs="Arial"/>
        </w:rPr>
        <w:t>matters, FSANZ recommends that irrad</w:t>
      </w:r>
      <w:r w:rsidR="00E54195">
        <w:rPr>
          <w:rFonts w:cs="Arial"/>
        </w:rPr>
        <w:t xml:space="preserve">iation of these fruits </w:t>
      </w:r>
      <w:r w:rsidR="00250C1C">
        <w:rPr>
          <w:rFonts w:cs="Arial"/>
        </w:rPr>
        <w:t xml:space="preserve">and </w:t>
      </w:r>
      <w:proofErr w:type="gramStart"/>
      <w:r w:rsidR="00250C1C">
        <w:rPr>
          <w:rFonts w:cs="Arial"/>
        </w:rPr>
        <w:t xml:space="preserve">vegetables </w:t>
      </w:r>
      <w:r w:rsidR="00257914">
        <w:rPr>
          <w:rFonts w:cs="Arial"/>
        </w:rPr>
        <w:t>is</w:t>
      </w:r>
      <w:proofErr w:type="gramEnd"/>
      <w:r>
        <w:rPr>
          <w:rFonts w:cs="Arial"/>
        </w:rPr>
        <w:t xml:space="preserve"> permitted </w:t>
      </w:r>
      <w:r w:rsidRPr="003A54EE">
        <w:rPr>
          <w:rFonts w:cs="Arial"/>
        </w:rPr>
        <w:t>for inclusion in the Standard with the following requirements:</w:t>
      </w:r>
    </w:p>
    <w:p w:rsidR="002B131C" w:rsidRPr="003A54EE" w:rsidRDefault="002B131C" w:rsidP="002B131C">
      <w:pPr>
        <w:rPr>
          <w:rFonts w:cs="Arial"/>
        </w:rPr>
      </w:pPr>
    </w:p>
    <w:p w:rsidR="002B131C" w:rsidRPr="003A54EE" w:rsidRDefault="00B50C83" w:rsidP="002B131C">
      <w:pPr>
        <w:pStyle w:val="FSBullet1"/>
        <w:numPr>
          <w:ilvl w:val="0"/>
          <w:numId w:val="6"/>
        </w:numPr>
        <w:ind w:left="567" w:hanging="567"/>
      </w:pPr>
      <w:r>
        <w:t>i</w:t>
      </w:r>
      <w:r w:rsidR="002B131C" w:rsidRPr="003A54EE">
        <w:t>rradi</w:t>
      </w:r>
      <w:r w:rsidR="002B131C">
        <w:t xml:space="preserve">ation is permitted </w:t>
      </w:r>
      <w:r w:rsidR="002B131C" w:rsidRPr="003A54EE">
        <w:t>only for the purposes of pest disinfestation for a phytosanitary objective</w:t>
      </w:r>
    </w:p>
    <w:p w:rsidR="002B131C" w:rsidRPr="003A54EE" w:rsidRDefault="002B131C" w:rsidP="002B131C">
      <w:pPr>
        <w:pStyle w:val="FSBullet1"/>
        <w:numPr>
          <w:ilvl w:val="0"/>
          <w:numId w:val="6"/>
        </w:numPr>
        <w:ind w:left="567" w:hanging="567"/>
      </w:pPr>
      <w:r>
        <w:t xml:space="preserve">the permitted dose range should be </w:t>
      </w:r>
      <w:r w:rsidRPr="003A54EE">
        <w:t xml:space="preserve">a minimum dose of 150 Gy and a maximum of </w:t>
      </w:r>
      <w:r w:rsidR="00D071D3">
        <w:br/>
      </w:r>
      <w:r w:rsidRPr="003A54EE">
        <w:t>1 kGy</w:t>
      </w:r>
    </w:p>
    <w:p w:rsidR="002B131C" w:rsidRPr="00E54195" w:rsidRDefault="002B131C" w:rsidP="002B131C">
      <w:pPr>
        <w:pStyle w:val="FSBullet1"/>
        <w:numPr>
          <w:ilvl w:val="0"/>
          <w:numId w:val="6"/>
        </w:numPr>
        <w:ind w:left="567" w:hanging="567"/>
      </w:pPr>
      <w:proofErr w:type="gramStart"/>
      <w:r w:rsidRPr="00E54195">
        <w:t>the</w:t>
      </w:r>
      <w:proofErr w:type="gramEnd"/>
      <w:r w:rsidRPr="00E54195">
        <w:t xml:space="preserve"> current mandatory labelling of irradiated foods and record keeping requirements do not require amending (</w:t>
      </w:r>
      <w:r w:rsidR="00D071D3">
        <w:t>r</w:t>
      </w:r>
      <w:r w:rsidRPr="00E54195">
        <w:t xml:space="preserve">efer to section 3.1 of SD1). </w:t>
      </w:r>
    </w:p>
    <w:p w:rsidR="002B131C" w:rsidRPr="003A54EE" w:rsidRDefault="002B131C" w:rsidP="002B131C">
      <w:pPr>
        <w:rPr>
          <w:rFonts w:cs="Arial"/>
        </w:rPr>
      </w:pPr>
    </w:p>
    <w:p w:rsidR="002B131C" w:rsidRPr="00636EB3" w:rsidRDefault="002B131C" w:rsidP="002B131C">
      <w:pPr>
        <w:rPr>
          <w:rFonts w:cs="Arial"/>
        </w:rPr>
      </w:pPr>
      <w:r w:rsidRPr="003A54EE">
        <w:rPr>
          <w:rFonts w:cs="Arial"/>
        </w:rPr>
        <w:t>Other matters, such as general exposure to radiation, damage to the environment and occupational health issues for radiation workers are outside FSANZ’s mandate and are covered by other agencies’ legislation such as controls imposed by the assessment of radiatio</w:t>
      </w:r>
      <w:r>
        <w:rPr>
          <w:rFonts w:cs="Arial"/>
        </w:rPr>
        <w:t xml:space="preserve">n licence applications (Refer to section </w:t>
      </w:r>
      <w:r w:rsidR="00E7436A">
        <w:rPr>
          <w:rFonts w:cs="Arial"/>
        </w:rPr>
        <w:t>4.0</w:t>
      </w:r>
      <w:r>
        <w:rPr>
          <w:rFonts w:cs="Arial"/>
        </w:rPr>
        <w:t xml:space="preserve"> of SD1</w:t>
      </w:r>
      <w:r>
        <w:rPr>
          <w:rFonts w:cs="Arial"/>
          <w:b/>
        </w:rPr>
        <w:t xml:space="preserve">). </w:t>
      </w:r>
    </w:p>
    <w:p w:rsidR="00E54195" w:rsidRDefault="00E54195" w:rsidP="002B131C">
      <w:pPr>
        <w:rPr>
          <w:rFonts w:cs="Arial"/>
        </w:rPr>
      </w:pPr>
    </w:p>
    <w:p w:rsidR="002B131C" w:rsidRDefault="002B131C" w:rsidP="002B131C">
      <w:pPr>
        <w:rPr>
          <w:rFonts w:cs="Arial"/>
        </w:rPr>
      </w:pPr>
      <w:r>
        <w:rPr>
          <w:rFonts w:cs="Arial"/>
        </w:rPr>
        <w:t xml:space="preserve">There are a range of </w:t>
      </w:r>
      <w:r w:rsidRPr="00666A48">
        <w:rPr>
          <w:rFonts w:cs="Arial"/>
        </w:rPr>
        <w:t>in</w:t>
      </w:r>
      <w:r>
        <w:rPr>
          <w:rFonts w:cs="Arial"/>
        </w:rPr>
        <w:t xml:space="preserve">ternationally accepted </w:t>
      </w:r>
      <w:r w:rsidRPr="00666A48">
        <w:rPr>
          <w:rFonts w:cs="Arial"/>
        </w:rPr>
        <w:t>method</w:t>
      </w:r>
      <w:r>
        <w:rPr>
          <w:rFonts w:cs="Arial"/>
        </w:rPr>
        <w:t>s</w:t>
      </w:r>
      <w:r w:rsidRPr="00666A48">
        <w:rPr>
          <w:rFonts w:cs="Arial"/>
        </w:rPr>
        <w:t xml:space="preserve"> of d</w:t>
      </w:r>
      <w:r>
        <w:rPr>
          <w:rFonts w:cs="Arial"/>
        </w:rPr>
        <w:t xml:space="preserve">etection for irradiated foods that could be used for enforcement purposes </w:t>
      </w:r>
      <w:r w:rsidRPr="00666A48">
        <w:rPr>
          <w:rFonts w:cs="Arial"/>
        </w:rPr>
        <w:t xml:space="preserve">(Refer to </w:t>
      </w:r>
      <w:r w:rsidR="00311A0C">
        <w:rPr>
          <w:rFonts w:cs="Arial"/>
        </w:rPr>
        <w:t>section 4.2</w:t>
      </w:r>
      <w:r>
        <w:rPr>
          <w:rFonts w:cs="Arial"/>
        </w:rPr>
        <w:t xml:space="preserve"> of </w:t>
      </w:r>
      <w:r w:rsidRPr="00666A48">
        <w:rPr>
          <w:rFonts w:cs="Arial"/>
        </w:rPr>
        <w:t xml:space="preserve">SD1). </w:t>
      </w:r>
      <w:r>
        <w:rPr>
          <w:rFonts w:cs="Arial"/>
        </w:rPr>
        <w:t>The c</w:t>
      </w:r>
      <w:r w:rsidRPr="00666A48">
        <w:rPr>
          <w:rFonts w:cs="Arial"/>
        </w:rPr>
        <w:t xml:space="preserve">urrent detection methods for irradiated food are able to detect whether a food has been irradiated or not, but cannot accurately measure absorbed doses. </w:t>
      </w:r>
    </w:p>
    <w:p w:rsidR="002B131C" w:rsidRDefault="002B131C" w:rsidP="002B131C">
      <w:pPr>
        <w:rPr>
          <w:rFonts w:cs="Arial"/>
        </w:rPr>
      </w:pPr>
    </w:p>
    <w:p w:rsidR="004A4B7A" w:rsidRPr="00547E13" w:rsidRDefault="002B131C" w:rsidP="00DD3C5E">
      <w:pPr>
        <w:rPr>
          <w:rFonts w:cs="Arial"/>
        </w:rPr>
      </w:pPr>
      <w:r w:rsidRPr="00666A48">
        <w:rPr>
          <w:rFonts w:cs="Arial"/>
        </w:rPr>
        <w:t xml:space="preserve">The control of the dose is managed by proper validation of the process </w:t>
      </w:r>
      <w:r w:rsidR="00B50C83">
        <w:rPr>
          <w:rFonts w:cs="Arial"/>
        </w:rPr>
        <w:t>before</w:t>
      </w:r>
      <w:r w:rsidRPr="00666A48">
        <w:rPr>
          <w:rFonts w:cs="Arial"/>
        </w:rPr>
        <w:t xml:space="preserve"> routine processing and is established and controlled by accurate dosimetry and maintenance of records by irradiation facilities under the existing State/Territory or New Zealand irradiation licensing requirements.</w:t>
      </w:r>
    </w:p>
    <w:p w:rsidR="00E520FE" w:rsidRDefault="00DB5DB2" w:rsidP="00E520FE">
      <w:pPr>
        <w:pStyle w:val="Heading2"/>
      </w:pPr>
      <w:bookmarkStart w:id="51" w:name="_Toc300933435"/>
      <w:bookmarkStart w:id="52" w:name="_Toc396117784"/>
      <w:r>
        <w:t>2.3</w:t>
      </w:r>
      <w:r w:rsidR="00E520FE">
        <w:tab/>
        <w:t>Risk communication</w:t>
      </w:r>
      <w:bookmarkEnd w:id="51"/>
      <w:bookmarkEnd w:id="52"/>
      <w:r w:rsidR="00E520FE">
        <w:t xml:space="preserve"> </w:t>
      </w:r>
    </w:p>
    <w:p w:rsidR="00E520FE" w:rsidRPr="00340849" w:rsidRDefault="00DB5DB2" w:rsidP="00022DBC">
      <w:pPr>
        <w:pStyle w:val="Heading3"/>
      </w:pPr>
      <w:bookmarkStart w:id="53" w:name="_Toc300933437"/>
      <w:bookmarkStart w:id="54" w:name="_Toc396117785"/>
      <w:bookmarkStart w:id="55" w:name="_Toc286391012"/>
      <w:r w:rsidRPr="00340849">
        <w:t>2.3</w:t>
      </w:r>
      <w:r w:rsidR="00E520FE" w:rsidRPr="00340849">
        <w:t>.1</w:t>
      </w:r>
      <w:r w:rsidR="00E520FE" w:rsidRPr="00340849">
        <w:tab/>
        <w:t>Consultation</w:t>
      </w:r>
      <w:bookmarkEnd w:id="53"/>
      <w:bookmarkEnd w:id="54"/>
    </w:p>
    <w:p w:rsidR="0027513D" w:rsidRDefault="0027513D" w:rsidP="0027513D">
      <w:pPr>
        <w:rPr>
          <w:color w:val="00B050"/>
        </w:rPr>
      </w:pPr>
      <w:r w:rsidRPr="0027513D">
        <w:rPr>
          <w:szCs w:val="22"/>
        </w:rPr>
        <w:t xml:space="preserve">Consultation is a key part of FSANZ’s standards development process. </w:t>
      </w:r>
    </w:p>
    <w:p w:rsidR="00783D6B" w:rsidRDefault="00783D6B" w:rsidP="00F77CAD"/>
    <w:p w:rsidR="00F77CAD" w:rsidRDefault="00F77CAD" w:rsidP="00F77CAD">
      <w:r>
        <w:t xml:space="preserve">FSANZ has developed and applied a basic communication strategy to this Application. All calls for submissions are notified via the FSANZ Notification Circular, media release, FSANZ’s social media tools and Food Standards News. </w:t>
      </w:r>
    </w:p>
    <w:p w:rsidR="00F77CAD" w:rsidRDefault="00F77CAD" w:rsidP="00F77CAD"/>
    <w:p w:rsidR="00F77CAD" w:rsidRDefault="00F77CAD" w:rsidP="00F77CAD">
      <w:r>
        <w:t>The process by which FSANZ considers standard development matters is open, accountable, consultative and transparent. Public submissions are called to obtain the views of interested parties on issues raised by the Application and the impacts of regulatory options. The draft variation will be considered for approval by the FSANZ Board taking into account public comments received from this call for submissions.</w:t>
      </w:r>
    </w:p>
    <w:p w:rsidR="00F77CAD" w:rsidRDefault="00F77CAD" w:rsidP="00F77CAD"/>
    <w:p w:rsidR="00F77CAD" w:rsidRDefault="00F77CAD" w:rsidP="00F77CAD">
      <w:r>
        <w:t xml:space="preserve">The Applicant, individuals and organisations that make submissions on this Application will be notified at each stage of the assessment. Subscribers and interested parties are also notified via email about the availability of reports for public comment. </w:t>
      </w:r>
    </w:p>
    <w:p w:rsidR="00F77CAD" w:rsidRDefault="00F77CAD" w:rsidP="00F77CAD"/>
    <w:p w:rsidR="00537675" w:rsidRDefault="00F77CAD" w:rsidP="00F77CAD">
      <w:r>
        <w:t xml:space="preserve">If the draft variation to the Code is approved by the FSANZ Board, that decision will be notified to the </w:t>
      </w:r>
      <w:r w:rsidR="00537675">
        <w:rPr>
          <w:rFonts w:cs="Helvetica"/>
          <w:lang w:val="en-AU"/>
        </w:rPr>
        <w:t>Australia and New Zealand Ministerial Forum on Food Regulation (convening as the Australia and New Zealand Food Regulation Ministerial Council)</w:t>
      </w:r>
      <w:r w:rsidR="009F67B9">
        <w:t xml:space="preserve">. </w:t>
      </w:r>
      <w:r>
        <w:t>If the decision is not subject to a request for a review, the Applicant and stakeholders including the public will be notified of the gazettal of the variation to the Code in the national press and on the FSANZ website.</w:t>
      </w:r>
      <w:r w:rsidR="00537675">
        <w:br w:type="page"/>
      </w:r>
    </w:p>
    <w:p w:rsidR="0027513D" w:rsidRPr="003F5772" w:rsidRDefault="0027513D" w:rsidP="0027513D">
      <w:pPr>
        <w:rPr>
          <w:szCs w:val="22"/>
        </w:rPr>
      </w:pPr>
      <w:r w:rsidRPr="00D50501">
        <w:rPr>
          <w:szCs w:val="22"/>
        </w:rPr>
        <w:lastRenderedPageBreak/>
        <w:t>Every submissio</w:t>
      </w:r>
      <w:r w:rsidR="00F77CAD">
        <w:rPr>
          <w:szCs w:val="22"/>
        </w:rPr>
        <w:t xml:space="preserve">n on an application </w:t>
      </w:r>
      <w:r w:rsidRPr="00D50501">
        <w:rPr>
          <w:szCs w:val="22"/>
        </w:rPr>
        <w:t>is reviewed by FSANZ staff</w:t>
      </w:r>
      <w:r w:rsidR="00537675">
        <w:rPr>
          <w:szCs w:val="22"/>
        </w:rPr>
        <w:t xml:space="preserve"> and the Board</w:t>
      </w:r>
      <w:r w:rsidRPr="00D50501">
        <w:rPr>
          <w:szCs w:val="22"/>
        </w:rPr>
        <w:t xml:space="preserve">, who examine the </w:t>
      </w:r>
      <w:proofErr w:type="gramStart"/>
      <w:r w:rsidRPr="00D50501">
        <w:rPr>
          <w:szCs w:val="22"/>
        </w:rPr>
        <w:t>issues</w:t>
      </w:r>
      <w:proofErr w:type="gramEnd"/>
      <w:r w:rsidRPr="00D50501">
        <w:rPr>
          <w:szCs w:val="22"/>
        </w:rPr>
        <w:t xml:space="preserve"> identified and prepare a response to those issues. While not all comments may be taken on board during the process, they are valued and all contribute to the rigour of our assessment. </w:t>
      </w:r>
    </w:p>
    <w:p w:rsidR="00E520FE" w:rsidRPr="00022DBC" w:rsidRDefault="00DB5DB2" w:rsidP="00022DBC">
      <w:pPr>
        <w:pStyle w:val="Heading3"/>
      </w:pPr>
      <w:bookmarkStart w:id="56" w:name="_Toc300761912"/>
      <w:bookmarkStart w:id="57" w:name="_Toc300933439"/>
      <w:bookmarkStart w:id="58" w:name="_Toc396117786"/>
      <w:bookmarkEnd w:id="55"/>
      <w:r>
        <w:t>2.3</w:t>
      </w:r>
      <w:r w:rsidR="00022DBC" w:rsidRPr="00022DBC">
        <w:t>.2</w:t>
      </w:r>
      <w:r w:rsidR="00E520FE" w:rsidRPr="00022DBC">
        <w:tab/>
        <w:t>World Trade Organization (WTO)</w:t>
      </w:r>
      <w:bookmarkEnd w:id="56"/>
      <w:bookmarkEnd w:id="57"/>
      <w:bookmarkEnd w:id="58"/>
    </w:p>
    <w:p w:rsidR="00B50C83" w:rsidRPr="00DC6570" w:rsidRDefault="00E520FE" w:rsidP="00B50C83">
      <w:pPr>
        <w:rPr>
          <w:rFonts w:cs="Arial"/>
          <w:color w:val="000000"/>
        </w:rPr>
      </w:pPr>
      <w:r w:rsidRPr="00DC6570">
        <w:rPr>
          <w:rFonts w:cs="Arial"/>
          <w:color w:val="000000"/>
        </w:rPr>
        <w:t>As members of the World Trade Organization (WTO), Australia and New Zealand are obliged</w:t>
      </w:r>
      <w:r w:rsidR="00B50C83">
        <w:rPr>
          <w:rFonts w:cs="Arial"/>
          <w:color w:val="000000"/>
        </w:rPr>
        <w:t xml:space="preserve"> to </w:t>
      </w:r>
      <w:r w:rsidR="00B50C83" w:rsidRPr="00DC6570">
        <w:rPr>
          <w:rFonts w:cs="Arial"/>
          <w:color w:val="000000"/>
        </w:rPr>
        <w:t>notify WTO members where proposed mandatory regulatory measures are inconsistent with any existing or imminent international standards and the proposed measure may have a significant effect on trade.</w:t>
      </w:r>
    </w:p>
    <w:p w:rsidR="00237490" w:rsidRDefault="00237490" w:rsidP="00E520FE">
      <w:pPr>
        <w:rPr>
          <w:rFonts w:cs="Arial"/>
          <w:color w:val="000000"/>
        </w:rPr>
      </w:pPr>
    </w:p>
    <w:p w:rsidR="00237490" w:rsidRPr="00E54195" w:rsidRDefault="001B0B76" w:rsidP="00E54195">
      <w:pPr>
        <w:tabs>
          <w:tab w:val="left" w:pos="1560"/>
        </w:tabs>
        <w:rPr>
          <w:szCs w:val="22"/>
        </w:rPr>
      </w:pPr>
      <w:r w:rsidRPr="001B0B76">
        <w:rPr>
          <w:rFonts w:cs="Arial"/>
        </w:rPr>
        <w:t xml:space="preserve">There are relevant international standards, and amending the Code to include </w:t>
      </w:r>
      <w:r w:rsidRPr="001B0B76">
        <w:rPr>
          <w:szCs w:val="22"/>
        </w:rPr>
        <w:t>permissions to i</w:t>
      </w:r>
      <w:r w:rsidR="004E0CF4">
        <w:rPr>
          <w:szCs w:val="22"/>
        </w:rPr>
        <w:t xml:space="preserve">rradiate these commodities </w:t>
      </w:r>
      <w:r w:rsidRPr="001B0B76">
        <w:rPr>
          <w:szCs w:val="22"/>
        </w:rPr>
        <w:t xml:space="preserve">would have a trade enabling effect as it would permit </w:t>
      </w:r>
      <w:r w:rsidR="00B50C83">
        <w:rPr>
          <w:szCs w:val="22"/>
        </w:rPr>
        <w:t xml:space="preserve">these </w:t>
      </w:r>
      <w:r w:rsidRPr="001B0B76">
        <w:rPr>
          <w:szCs w:val="22"/>
        </w:rPr>
        <w:t>ir</w:t>
      </w:r>
      <w:r w:rsidR="004E0CF4">
        <w:rPr>
          <w:szCs w:val="22"/>
        </w:rPr>
        <w:t xml:space="preserve">radiated commodities </w:t>
      </w:r>
      <w:r w:rsidRPr="001B0B76">
        <w:rPr>
          <w:szCs w:val="22"/>
        </w:rPr>
        <w:t xml:space="preserve">to be sold in Australia and New Zealand and also allow imports into Australia and New Zealand and sold, where currently they would be prohibited. </w:t>
      </w:r>
      <w:r w:rsidRPr="001B0B76">
        <w:rPr>
          <w:rFonts w:cs="Arial"/>
          <w:iCs/>
        </w:rPr>
        <w:t xml:space="preserve">Therefore, a notification to the WTO under </w:t>
      </w:r>
      <w:r w:rsidRPr="001B0B76">
        <w:rPr>
          <w:rFonts w:cs="Arial"/>
        </w:rPr>
        <w:t>Australia’s and New Zealand’s</w:t>
      </w:r>
      <w:r w:rsidRPr="001B0B76">
        <w:rPr>
          <w:rFonts w:cs="Arial"/>
          <w:iCs/>
        </w:rPr>
        <w:t xml:space="preserve"> obligations under the WTO Technical Barriers to Trade</w:t>
      </w:r>
      <w:r w:rsidRPr="001B0B76">
        <w:rPr>
          <w:rFonts w:cs="Arial"/>
          <w:iCs/>
          <w:color w:val="FF0000"/>
        </w:rPr>
        <w:t xml:space="preserve"> </w:t>
      </w:r>
      <w:r w:rsidRPr="001B0B76">
        <w:rPr>
          <w:rFonts w:cs="Arial"/>
          <w:iCs/>
        </w:rPr>
        <w:t>Agreement was not considered necessary.</w:t>
      </w:r>
    </w:p>
    <w:p w:rsidR="00E520FE" w:rsidRDefault="00DB5DB2" w:rsidP="00022DBC">
      <w:pPr>
        <w:pStyle w:val="Heading2"/>
      </w:pPr>
      <w:bookmarkStart w:id="59" w:name="_Toc396117787"/>
      <w:r>
        <w:t>2.4</w:t>
      </w:r>
      <w:r w:rsidR="00022DBC">
        <w:tab/>
        <w:t>FSANZ Act assessment requirements</w:t>
      </w:r>
      <w:bookmarkEnd w:id="59"/>
    </w:p>
    <w:p w:rsidR="001B0B76" w:rsidRDefault="00726C2F" w:rsidP="00726C2F">
      <w:r w:rsidRPr="0057599D">
        <w:t>When assessing this A</w:t>
      </w:r>
      <w:r w:rsidR="00A00325" w:rsidRPr="0057599D">
        <w:t xml:space="preserve">pplication </w:t>
      </w:r>
      <w:r w:rsidRPr="0057599D">
        <w:t xml:space="preserve">and the subsequent development of a food regulatory measure, FSANZ has had regard to the </w:t>
      </w:r>
      <w:r w:rsidRPr="0057599D" w:rsidDel="00932F14">
        <w:t xml:space="preserve">following </w:t>
      </w:r>
      <w:r w:rsidRPr="0057599D">
        <w:t>matters in section 29</w:t>
      </w:r>
      <w:r w:rsidR="00A00325" w:rsidRPr="0057599D">
        <w:t xml:space="preserve"> </w:t>
      </w:r>
      <w:r w:rsidR="00893784">
        <w:t xml:space="preserve">of the FSANZ Act: </w:t>
      </w:r>
    </w:p>
    <w:p w:rsidR="00893784" w:rsidRPr="0023013B" w:rsidRDefault="00DB5DB2" w:rsidP="00A977FC">
      <w:pPr>
        <w:pStyle w:val="Heading3"/>
      </w:pPr>
      <w:bookmarkStart w:id="60" w:name="_Toc387301711"/>
      <w:bookmarkStart w:id="61" w:name="_Toc396117788"/>
      <w:r>
        <w:t>2.4</w:t>
      </w:r>
      <w:r w:rsidR="00893784" w:rsidRPr="0023013B">
        <w:t>.1</w:t>
      </w:r>
      <w:r w:rsidR="00893784" w:rsidRPr="0023013B">
        <w:tab/>
        <w:t>Section 29</w:t>
      </w:r>
      <w:bookmarkEnd w:id="60"/>
      <w:bookmarkEnd w:id="61"/>
    </w:p>
    <w:p w:rsidR="00893784" w:rsidRDefault="00DB5DB2" w:rsidP="00893784">
      <w:pPr>
        <w:pStyle w:val="Heading4"/>
      </w:pPr>
      <w:r>
        <w:t>2.4</w:t>
      </w:r>
      <w:r w:rsidR="00893784">
        <w:t>.1.1</w:t>
      </w:r>
      <w:r w:rsidR="00893784">
        <w:tab/>
        <w:t>Cost benefit analysis</w:t>
      </w:r>
    </w:p>
    <w:p w:rsidR="0012328F" w:rsidRPr="0012328F" w:rsidRDefault="0012328F" w:rsidP="0077727B">
      <w:pPr>
        <w:rPr>
          <w:rFonts w:eastAsia="Calibri" w:cs="Arial"/>
          <w:bCs/>
          <w:szCs w:val="22"/>
          <w:lang w:val="en-AU" w:bidi="ar-SA"/>
        </w:rPr>
      </w:pPr>
      <w:r>
        <w:t>Paragraph 2</w:t>
      </w:r>
      <w:r w:rsidRPr="0012328F">
        <w:t xml:space="preserve">9(2)(a) of the FSANZ Act requires FSANZ to have regard to whether the costs arising from a food regulatory measure developed for this Proposal would outweigh the direct and indirect benefits to the community, Government and industry that arise from the measure. </w:t>
      </w:r>
    </w:p>
    <w:p w:rsidR="00783D6B" w:rsidRDefault="00783D6B" w:rsidP="0012328F">
      <w:pPr>
        <w:rPr>
          <w:lang w:eastAsia="en-AU" w:bidi="ar-SA"/>
        </w:rPr>
      </w:pPr>
    </w:p>
    <w:p w:rsidR="0012328F" w:rsidRPr="0012328F" w:rsidRDefault="0012328F" w:rsidP="0012328F">
      <w:pPr>
        <w:rPr>
          <w:lang w:eastAsia="en-AU" w:bidi="ar-SA"/>
        </w:rPr>
      </w:pPr>
      <w:r w:rsidRPr="0012328F">
        <w:rPr>
          <w:lang w:eastAsia="en-AU" w:bidi="ar-SA"/>
        </w:rPr>
        <w:t xml:space="preserve">The Office of Best Practice Regulation (OBPR), in a letter to FSANZ dated 15 May 2012 (reference 13845), provided a standing exemption from the need to </w:t>
      </w:r>
      <w:r w:rsidR="00896DE2">
        <w:rPr>
          <w:lang w:eastAsia="en-AU" w:bidi="ar-SA"/>
        </w:rPr>
        <w:t>consider</w:t>
      </w:r>
      <w:r w:rsidR="00896DE2" w:rsidRPr="0012328F">
        <w:rPr>
          <w:lang w:eastAsia="en-AU" w:bidi="ar-SA"/>
        </w:rPr>
        <w:t xml:space="preserve"> </w:t>
      </w:r>
      <w:r w:rsidRPr="0012328F">
        <w:rPr>
          <w:lang w:eastAsia="en-AU" w:bidi="ar-SA"/>
        </w:rPr>
        <w:t xml:space="preserve">if a Regulation Impact Statement (RIS) was </w:t>
      </w:r>
      <w:r w:rsidR="00896DE2">
        <w:rPr>
          <w:lang w:eastAsia="en-AU" w:bidi="ar-SA"/>
        </w:rPr>
        <w:t>required</w:t>
      </w:r>
      <w:r w:rsidR="00896DE2" w:rsidRPr="0012328F">
        <w:rPr>
          <w:lang w:eastAsia="en-AU" w:bidi="ar-SA"/>
        </w:rPr>
        <w:t xml:space="preserve"> </w:t>
      </w:r>
      <w:r w:rsidRPr="0012328F">
        <w:rPr>
          <w:lang w:eastAsia="en-AU" w:bidi="ar-SA"/>
        </w:rPr>
        <w:t xml:space="preserve">for applications seeking permission to irradiate foods. The proposed variation to the Code is considered minor and machinery in nature. </w:t>
      </w:r>
    </w:p>
    <w:p w:rsidR="0012328F" w:rsidRDefault="0012328F" w:rsidP="0012328F">
      <w:pPr>
        <w:widowControl/>
        <w:autoSpaceDE w:val="0"/>
        <w:autoSpaceDN w:val="0"/>
        <w:adjustRightInd w:val="0"/>
        <w:rPr>
          <w:rFonts w:eastAsia="Calibri" w:cs="Arial"/>
          <w:bCs/>
          <w:szCs w:val="22"/>
          <w:lang w:val="en-AU" w:bidi="ar-SA"/>
        </w:rPr>
      </w:pPr>
    </w:p>
    <w:p w:rsidR="0012328F" w:rsidRDefault="0012328F" w:rsidP="0012328F">
      <w:pPr>
        <w:widowControl/>
        <w:autoSpaceDE w:val="0"/>
        <w:autoSpaceDN w:val="0"/>
        <w:adjustRightInd w:val="0"/>
        <w:rPr>
          <w:szCs w:val="22"/>
        </w:rPr>
      </w:pPr>
      <w:r w:rsidRPr="0012328F">
        <w:rPr>
          <w:rFonts w:eastAsia="Calibri" w:cs="Arial"/>
          <w:bCs/>
          <w:szCs w:val="22"/>
          <w:lang w:val="en-AU" w:bidi="ar-SA"/>
        </w:rPr>
        <w:t xml:space="preserve">FSANZ undertook a cost benefit analysis </w:t>
      </w:r>
      <w:r w:rsidRPr="0012328F">
        <w:t>of the regulatory options</w:t>
      </w:r>
      <w:r w:rsidRPr="0012328F">
        <w:rPr>
          <w:rFonts w:eastAsia="Calibri" w:cs="Arial"/>
          <w:bCs/>
          <w:szCs w:val="22"/>
          <w:lang w:val="en-AU" w:bidi="ar-SA"/>
        </w:rPr>
        <w:t xml:space="preserve"> for </w:t>
      </w:r>
      <w:r>
        <w:rPr>
          <w:rFonts w:eastAsia="Calibri" w:cs="Arial"/>
          <w:bCs/>
          <w:szCs w:val="22"/>
          <w:lang w:val="en-AU" w:bidi="ar-SA"/>
        </w:rPr>
        <w:t>the purposes of section 2</w:t>
      </w:r>
      <w:r w:rsidRPr="0012328F">
        <w:rPr>
          <w:rFonts w:eastAsia="Calibri" w:cs="Arial"/>
          <w:bCs/>
          <w:szCs w:val="22"/>
          <w:lang w:val="en-AU" w:bidi="ar-SA"/>
        </w:rPr>
        <w:t xml:space="preserve">9. This is </w:t>
      </w:r>
      <w:r w:rsidRPr="0012328F">
        <w:rPr>
          <w:szCs w:val="22"/>
        </w:rPr>
        <w:t>not intended to be an exhaustive, quantitative economic analysis of the options and, in fact, most of the impacts that are considered cannot be assigned a dollar value. Rather, the assessment seeks to highlight the qualitative impacts that are relevant to each option. These impacts are deliberately limited to those involving broad areas such as trade, consumer information and compliance.</w:t>
      </w:r>
    </w:p>
    <w:p w:rsidR="0013455B" w:rsidRDefault="0013455B" w:rsidP="0012328F">
      <w:pPr>
        <w:widowControl/>
        <w:autoSpaceDE w:val="0"/>
        <w:autoSpaceDN w:val="0"/>
        <w:adjustRightInd w:val="0"/>
        <w:rPr>
          <w:szCs w:val="22"/>
        </w:rPr>
      </w:pPr>
    </w:p>
    <w:p w:rsidR="0090519C" w:rsidRDefault="0090519C" w:rsidP="009252D1">
      <w:pPr>
        <w:rPr>
          <w:szCs w:val="22"/>
        </w:rPr>
      </w:pPr>
      <w:r w:rsidRPr="0090519C">
        <w:rPr>
          <w:szCs w:val="22"/>
        </w:rPr>
        <w:t xml:space="preserve">Information supplied by the applicant, has suggested that DAFF and the horticulture industry consider trade in these fruits </w:t>
      </w:r>
      <w:r w:rsidR="00250C1C">
        <w:rPr>
          <w:rFonts w:cs="Arial"/>
        </w:rPr>
        <w:t>and vegetables</w:t>
      </w:r>
      <w:r w:rsidR="00250C1C" w:rsidRPr="0090519C">
        <w:rPr>
          <w:szCs w:val="22"/>
        </w:rPr>
        <w:t xml:space="preserve"> </w:t>
      </w:r>
      <w:r w:rsidRPr="0090519C">
        <w:rPr>
          <w:szCs w:val="22"/>
        </w:rPr>
        <w:t xml:space="preserve">is at risk of market disruption. In Queensland the forecast value for total fruit and vegetables in 2012–13 was AUD$2453 million with total fruit and nuts accounting for AUD$1334 million and total vegetables AUD$1119 million. </w:t>
      </w:r>
      <w:r w:rsidR="00CE5E84" w:rsidRPr="004F31E9">
        <w:t>Supplying the domestic market is the major focus of the horticulture industry in Queenslan</w:t>
      </w:r>
      <w:r w:rsidR="00CE5E84">
        <w:t xml:space="preserve">d (overall approximately 70%). </w:t>
      </w:r>
      <w:r w:rsidR="00D60660">
        <w:rPr>
          <w:szCs w:val="22"/>
        </w:rPr>
        <w:t>Therefore, a</w:t>
      </w:r>
      <w:r w:rsidRPr="0090519C">
        <w:rPr>
          <w:szCs w:val="22"/>
        </w:rPr>
        <w:t xml:space="preserve">ccess to interstate markets is vital to the ongoing economic viability of the state and </w:t>
      </w:r>
      <w:r w:rsidR="00D60660">
        <w:rPr>
          <w:szCs w:val="22"/>
        </w:rPr>
        <w:t xml:space="preserve">industry. </w:t>
      </w:r>
    </w:p>
    <w:p w:rsidR="0090519C" w:rsidRDefault="0090519C" w:rsidP="009252D1">
      <w:pPr>
        <w:rPr>
          <w:szCs w:val="22"/>
        </w:rPr>
      </w:pPr>
    </w:p>
    <w:p w:rsidR="0012328F" w:rsidRPr="009252D1" w:rsidRDefault="0012328F" w:rsidP="009252D1">
      <w:r w:rsidRPr="0012328F">
        <w:rPr>
          <w:szCs w:val="22"/>
        </w:rPr>
        <w:t xml:space="preserve">In reaching its decision to prepare a draft variation, FSANZ considered the following options: </w:t>
      </w:r>
    </w:p>
    <w:p w:rsidR="00804D87" w:rsidRDefault="00804D87" w:rsidP="0012328F">
      <w:pPr>
        <w:widowControl/>
        <w:rPr>
          <w:szCs w:val="22"/>
          <w:lang w:bidi="ar-SA"/>
        </w:rPr>
      </w:pPr>
      <w:r>
        <w:rPr>
          <w:szCs w:val="22"/>
          <w:lang w:bidi="ar-SA"/>
        </w:rPr>
        <w:br w:type="page"/>
      </w:r>
    </w:p>
    <w:p w:rsidR="0012328F" w:rsidRPr="0012328F" w:rsidRDefault="0012328F" w:rsidP="0012328F">
      <w:pPr>
        <w:widowControl/>
        <w:ind w:left="1134" w:hanging="1134"/>
        <w:rPr>
          <w:rFonts w:cs="Arial"/>
        </w:rPr>
      </w:pPr>
      <w:r w:rsidRPr="0012328F">
        <w:rPr>
          <w:szCs w:val="22"/>
        </w:rPr>
        <w:lastRenderedPageBreak/>
        <w:t>Opti</w:t>
      </w:r>
      <w:r>
        <w:rPr>
          <w:szCs w:val="22"/>
        </w:rPr>
        <w:t xml:space="preserve">on 1: </w:t>
      </w:r>
      <w:r>
        <w:rPr>
          <w:szCs w:val="22"/>
        </w:rPr>
        <w:tab/>
      </w:r>
      <w:r>
        <w:t xml:space="preserve">Prepare a </w:t>
      </w:r>
      <w:r w:rsidRPr="0012328F">
        <w:rPr>
          <w:rFonts w:cs="Arial"/>
          <w:color w:val="000000" w:themeColor="text1"/>
        </w:rPr>
        <w:t xml:space="preserve">draft variation to Standard 1.5.3 to </w:t>
      </w:r>
      <w:r w:rsidRPr="0012328F">
        <w:rPr>
          <w:rFonts w:cs="Arial"/>
        </w:rPr>
        <w:t>p</w:t>
      </w:r>
      <w:r>
        <w:rPr>
          <w:rFonts w:cs="Arial"/>
        </w:rPr>
        <w:t>ermit the use of irradiation on the requested fruits</w:t>
      </w:r>
      <w:r w:rsidR="00250C1C" w:rsidRPr="00250C1C">
        <w:rPr>
          <w:rFonts w:cs="Arial"/>
        </w:rPr>
        <w:t xml:space="preserve"> </w:t>
      </w:r>
      <w:r w:rsidR="00250C1C">
        <w:rPr>
          <w:rFonts w:cs="Arial"/>
        </w:rPr>
        <w:t>and vegetables</w:t>
      </w:r>
      <w:r>
        <w:rPr>
          <w:rFonts w:cs="Arial"/>
        </w:rPr>
        <w:t xml:space="preserve">. </w:t>
      </w:r>
    </w:p>
    <w:p w:rsidR="0012328F" w:rsidRPr="0012328F" w:rsidRDefault="0012328F" w:rsidP="0012328F">
      <w:pPr>
        <w:widowControl/>
      </w:pPr>
    </w:p>
    <w:p w:rsidR="0012328F" w:rsidRPr="0012328F" w:rsidRDefault="0012328F" w:rsidP="0012328F">
      <w:pPr>
        <w:widowControl/>
        <w:ind w:left="1134" w:hanging="1134"/>
        <w:rPr>
          <w:rFonts w:cs="Arial"/>
          <w:lang w:bidi="ar-SA"/>
        </w:rPr>
      </w:pPr>
      <w:r>
        <w:rPr>
          <w:rFonts w:cs="Arial"/>
          <w:lang w:bidi="ar-SA"/>
        </w:rPr>
        <w:t>Option 2</w:t>
      </w:r>
      <w:r w:rsidRPr="0012328F">
        <w:rPr>
          <w:rFonts w:cs="Arial"/>
          <w:lang w:bidi="ar-SA"/>
        </w:rPr>
        <w:tab/>
      </w:r>
      <w:r w:rsidR="00E43377">
        <w:rPr>
          <w:rFonts w:cs="Arial"/>
          <w:lang w:bidi="ar-SA"/>
        </w:rPr>
        <w:t>Reject the A</w:t>
      </w:r>
      <w:r>
        <w:rPr>
          <w:rFonts w:cs="Arial"/>
          <w:lang w:bidi="ar-SA"/>
        </w:rPr>
        <w:t xml:space="preserve">pplication </w:t>
      </w:r>
    </w:p>
    <w:p w:rsidR="008A3B61" w:rsidRDefault="008A3B61" w:rsidP="008A3B61">
      <w:pPr>
        <w:rPr>
          <w:szCs w:val="22"/>
        </w:rPr>
      </w:pPr>
    </w:p>
    <w:p w:rsidR="008A3B61" w:rsidRDefault="008A3B61" w:rsidP="008A3B61">
      <w:pPr>
        <w:rPr>
          <w:szCs w:val="22"/>
        </w:rPr>
        <w:sectPr w:rsidR="008A3B61" w:rsidSect="00537675">
          <w:pgSz w:w="11906" w:h="16838"/>
          <w:pgMar w:top="1418" w:right="1418" w:bottom="1418" w:left="1418" w:header="709" w:footer="709" w:gutter="0"/>
          <w:pgNumType w:start="1"/>
          <w:cols w:space="708"/>
          <w:docGrid w:linePitch="360"/>
        </w:sectPr>
      </w:pPr>
    </w:p>
    <w:p w:rsidR="00F52218" w:rsidRPr="00291224" w:rsidRDefault="00F52218" w:rsidP="008A3B61">
      <w:pPr>
        <w:rPr>
          <w:rFonts w:cs="Arial"/>
          <w:b/>
        </w:rPr>
      </w:pPr>
      <w:r w:rsidRPr="00291224">
        <w:rPr>
          <w:b/>
          <w:szCs w:val="22"/>
        </w:rPr>
        <w:lastRenderedPageBreak/>
        <w:t xml:space="preserve">Option 1: </w:t>
      </w:r>
      <w:r w:rsidRPr="00291224">
        <w:rPr>
          <w:b/>
        </w:rPr>
        <w:t xml:space="preserve">Prepare a </w:t>
      </w:r>
      <w:r w:rsidRPr="00291224">
        <w:rPr>
          <w:rFonts w:cs="Arial"/>
          <w:b/>
          <w:color w:val="000000" w:themeColor="text1"/>
        </w:rPr>
        <w:t xml:space="preserve">draft variation to Standard 1.5.3 to </w:t>
      </w:r>
      <w:r w:rsidRPr="00291224">
        <w:rPr>
          <w:rFonts w:cs="Arial"/>
          <w:b/>
        </w:rPr>
        <w:t>permit the use of irrad</w:t>
      </w:r>
      <w:r w:rsidR="00291224" w:rsidRPr="00291224">
        <w:rPr>
          <w:rFonts w:cs="Arial"/>
          <w:b/>
        </w:rPr>
        <w:t>iation on the requested fruits</w:t>
      </w:r>
    </w:p>
    <w:p w:rsidR="00DF0496" w:rsidRPr="00DF0496" w:rsidRDefault="00DF0496" w:rsidP="00DF0496"/>
    <w:tbl>
      <w:tblPr>
        <w:tblW w:w="14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5"/>
        <w:gridCol w:w="5701"/>
        <w:gridCol w:w="6414"/>
      </w:tblGrid>
      <w:tr w:rsidR="00DF0496" w:rsidRPr="0042531B" w:rsidTr="00594AE7">
        <w:trPr>
          <w:cantSplit/>
          <w:tblHeader/>
        </w:trPr>
        <w:tc>
          <w:tcPr>
            <w:tcW w:w="1885" w:type="dxa"/>
            <w:tcBorders>
              <w:bottom w:val="single" w:sz="6" w:space="0" w:color="000000"/>
            </w:tcBorders>
            <w:shd w:val="clear" w:color="auto" w:fill="EAF1DD" w:themeFill="accent3" w:themeFillTint="33"/>
          </w:tcPr>
          <w:p w:rsidR="00DF0496" w:rsidRPr="00A977FC" w:rsidRDefault="00DF0496" w:rsidP="00DF0496">
            <w:pPr>
              <w:rPr>
                <w:b/>
                <w:sz w:val="20"/>
                <w:szCs w:val="20"/>
              </w:rPr>
            </w:pPr>
            <w:r w:rsidRPr="00A977FC">
              <w:rPr>
                <w:b/>
                <w:sz w:val="20"/>
                <w:szCs w:val="20"/>
              </w:rPr>
              <w:t>AFFECTED PARTY</w:t>
            </w:r>
          </w:p>
        </w:tc>
        <w:tc>
          <w:tcPr>
            <w:tcW w:w="5701" w:type="dxa"/>
            <w:shd w:val="clear" w:color="auto" w:fill="EAF1DD" w:themeFill="accent3" w:themeFillTint="33"/>
          </w:tcPr>
          <w:p w:rsidR="00DF0496" w:rsidRPr="0042531B" w:rsidRDefault="00DF0496" w:rsidP="00DF0496">
            <w:pPr>
              <w:rPr>
                <w:b/>
                <w:bCs/>
                <w:sz w:val="20"/>
                <w:szCs w:val="20"/>
              </w:rPr>
            </w:pPr>
            <w:r w:rsidRPr="0042531B">
              <w:rPr>
                <w:b/>
                <w:bCs/>
                <w:sz w:val="20"/>
                <w:szCs w:val="20"/>
              </w:rPr>
              <w:t>BENEFITS</w:t>
            </w:r>
          </w:p>
        </w:tc>
        <w:tc>
          <w:tcPr>
            <w:tcW w:w="6414" w:type="dxa"/>
            <w:shd w:val="clear" w:color="auto" w:fill="EAF1DD" w:themeFill="accent3" w:themeFillTint="33"/>
          </w:tcPr>
          <w:p w:rsidR="00DF0496" w:rsidRPr="0042531B" w:rsidRDefault="00DF0496" w:rsidP="00DF0496">
            <w:pPr>
              <w:rPr>
                <w:b/>
                <w:bCs/>
                <w:sz w:val="20"/>
                <w:szCs w:val="20"/>
              </w:rPr>
            </w:pPr>
            <w:r w:rsidRPr="0042531B">
              <w:rPr>
                <w:b/>
                <w:bCs/>
                <w:sz w:val="20"/>
                <w:szCs w:val="20"/>
              </w:rPr>
              <w:t>COSTS</w:t>
            </w:r>
          </w:p>
        </w:tc>
      </w:tr>
      <w:tr w:rsidR="00DF0496" w:rsidRPr="0042531B" w:rsidTr="00594AE7">
        <w:tc>
          <w:tcPr>
            <w:tcW w:w="1885" w:type="dxa"/>
          </w:tcPr>
          <w:p w:rsidR="00DF0496" w:rsidRPr="0042531B" w:rsidRDefault="00DF0496" w:rsidP="00DF0496">
            <w:pPr>
              <w:rPr>
                <w:b/>
                <w:bCs/>
                <w:sz w:val="20"/>
                <w:szCs w:val="20"/>
              </w:rPr>
            </w:pPr>
            <w:r w:rsidRPr="0042531B">
              <w:rPr>
                <w:b/>
                <w:bCs/>
                <w:sz w:val="20"/>
                <w:szCs w:val="20"/>
              </w:rPr>
              <w:t>Government</w:t>
            </w:r>
          </w:p>
          <w:p w:rsidR="00DF0496" w:rsidRPr="0042531B" w:rsidRDefault="00DF0496" w:rsidP="00DF0496">
            <w:pPr>
              <w:rPr>
                <w:sz w:val="20"/>
                <w:szCs w:val="20"/>
              </w:rPr>
            </w:pPr>
          </w:p>
        </w:tc>
        <w:tc>
          <w:tcPr>
            <w:tcW w:w="5701" w:type="dxa"/>
          </w:tcPr>
          <w:p w:rsidR="005E605A" w:rsidRPr="00291224" w:rsidRDefault="005E605A" w:rsidP="00804D87">
            <w:pPr>
              <w:ind w:left="113" w:hanging="113"/>
              <w:rPr>
                <w:sz w:val="20"/>
                <w:szCs w:val="20"/>
              </w:rPr>
            </w:pPr>
            <w:r w:rsidRPr="00291224">
              <w:rPr>
                <w:sz w:val="20"/>
                <w:szCs w:val="20"/>
              </w:rPr>
              <w:t>A</w:t>
            </w:r>
            <w:r w:rsidR="00F30C12" w:rsidRPr="00291224">
              <w:rPr>
                <w:sz w:val="20"/>
                <w:szCs w:val="20"/>
              </w:rPr>
              <w:t>dditional pest disinfestation treatment which may facilitate trade when some methods are not accepted or are being phased out e.g. some chemical treatments.</w:t>
            </w:r>
          </w:p>
          <w:p w:rsidR="005E605A" w:rsidRPr="00291224" w:rsidRDefault="005E605A" w:rsidP="00804D87">
            <w:pPr>
              <w:ind w:left="113" w:hanging="113"/>
              <w:rPr>
                <w:sz w:val="20"/>
                <w:szCs w:val="20"/>
              </w:rPr>
            </w:pPr>
          </w:p>
          <w:p w:rsidR="00DF0496" w:rsidRPr="00291224" w:rsidRDefault="005E605A" w:rsidP="00804D87">
            <w:pPr>
              <w:ind w:left="113" w:hanging="113"/>
              <w:rPr>
                <w:sz w:val="20"/>
                <w:szCs w:val="20"/>
              </w:rPr>
            </w:pPr>
            <w:r w:rsidRPr="00291224">
              <w:rPr>
                <w:sz w:val="20"/>
                <w:szCs w:val="20"/>
              </w:rPr>
              <w:t>P</w:t>
            </w:r>
            <w:r w:rsidR="00F30C12" w:rsidRPr="00291224">
              <w:rPr>
                <w:sz w:val="20"/>
                <w:szCs w:val="20"/>
              </w:rPr>
              <w:t>ossible enhanced economic development in rural and regional Australia.</w:t>
            </w:r>
          </w:p>
          <w:p w:rsidR="00787C0D" w:rsidRPr="00291224" w:rsidRDefault="00787C0D" w:rsidP="00804D87">
            <w:pPr>
              <w:ind w:left="113" w:hanging="113"/>
              <w:rPr>
                <w:sz w:val="20"/>
                <w:szCs w:val="20"/>
              </w:rPr>
            </w:pPr>
          </w:p>
          <w:p w:rsidR="00DF0496" w:rsidRPr="00291224" w:rsidRDefault="00DF0496" w:rsidP="00804D87">
            <w:pPr>
              <w:ind w:left="113" w:hanging="113"/>
              <w:rPr>
                <w:sz w:val="20"/>
                <w:szCs w:val="20"/>
              </w:rPr>
            </w:pPr>
          </w:p>
        </w:tc>
        <w:tc>
          <w:tcPr>
            <w:tcW w:w="6414" w:type="dxa"/>
          </w:tcPr>
          <w:p w:rsidR="00F30C12" w:rsidRPr="00291224" w:rsidRDefault="00F30C12" w:rsidP="00804D87">
            <w:pPr>
              <w:ind w:left="113" w:hanging="113"/>
              <w:rPr>
                <w:rFonts w:cs="Arial"/>
                <w:sz w:val="20"/>
                <w:szCs w:val="20"/>
              </w:rPr>
            </w:pPr>
            <w:r w:rsidRPr="00291224">
              <w:rPr>
                <w:rFonts w:cs="Arial"/>
                <w:sz w:val="20"/>
                <w:szCs w:val="20"/>
              </w:rPr>
              <w:t>State, territory and New Zealand government agencies may incur costs associated with enforcin</w:t>
            </w:r>
            <w:r w:rsidR="005E605A" w:rsidRPr="00291224">
              <w:rPr>
                <w:rFonts w:cs="Arial"/>
                <w:sz w:val="20"/>
                <w:szCs w:val="20"/>
              </w:rPr>
              <w:t>g labelling requirements for irradiated fruits</w:t>
            </w:r>
            <w:r w:rsidR="00250C1C" w:rsidRPr="00291224">
              <w:rPr>
                <w:rFonts w:cs="Arial"/>
                <w:sz w:val="20"/>
                <w:szCs w:val="20"/>
              </w:rPr>
              <w:t xml:space="preserve"> and vegetables</w:t>
            </w:r>
            <w:r w:rsidR="005E605A" w:rsidRPr="00291224">
              <w:rPr>
                <w:rFonts w:cs="Arial"/>
                <w:sz w:val="20"/>
                <w:szCs w:val="20"/>
              </w:rPr>
              <w:t xml:space="preserve">. </w:t>
            </w:r>
            <w:r w:rsidRPr="00291224">
              <w:rPr>
                <w:rFonts w:cs="Arial"/>
                <w:sz w:val="20"/>
                <w:szCs w:val="20"/>
              </w:rPr>
              <w:t>Such costs and how they are dealt with by jurisdictions will vary. It is suggested that for most jurisdictions, additional costs are not incurred for each minor variation in labelling requirements.</w:t>
            </w:r>
          </w:p>
          <w:p w:rsidR="00F30C12" w:rsidRPr="00291224" w:rsidRDefault="00F30C12" w:rsidP="00804D87">
            <w:pPr>
              <w:ind w:left="113" w:hanging="113"/>
              <w:rPr>
                <w:rFonts w:cs="Arial"/>
                <w:sz w:val="20"/>
                <w:szCs w:val="20"/>
              </w:rPr>
            </w:pPr>
          </w:p>
          <w:p w:rsidR="00185F1E" w:rsidRPr="00291224" w:rsidRDefault="00F30C12" w:rsidP="00804D87">
            <w:pPr>
              <w:ind w:left="113" w:hanging="113"/>
              <w:rPr>
                <w:rFonts w:cs="Arial"/>
                <w:sz w:val="20"/>
                <w:szCs w:val="20"/>
              </w:rPr>
            </w:pPr>
            <w:r w:rsidRPr="00291224">
              <w:rPr>
                <w:rFonts w:cs="Arial"/>
                <w:sz w:val="20"/>
                <w:szCs w:val="20"/>
              </w:rPr>
              <w:t>There may be additional costs for enforcement agencies adopting and validating meth</w:t>
            </w:r>
            <w:r w:rsidR="00E20004" w:rsidRPr="00291224">
              <w:rPr>
                <w:rFonts w:cs="Arial"/>
                <w:sz w:val="20"/>
                <w:szCs w:val="20"/>
              </w:rPr>
              <w:t xml:space="preserve">ods to detect irradiated foods; however, it is likely that the methods available for currently permitted foods, are applicable to these. </w:t>
            </w:r>
            <w:r w:rsidRPr="00291224">
              <w:rPr>
                <w:rFonts w:cs="Arial"/>
                <w:sz w:val="20"/>
                <w:szCs w:val="20"/>
              </w:rPr>
              <w:t>There may be additional costs auditing records at irradiation facilities. However, no quantitative figures on these specific costs were available.</w:t>
            </w:r>
          </w:p>
          <w:p w:rsidR="00265DFF" w:rsidRPr="00291224" w:rsidRDefault="00265DFF" w:rsidP="00804D87">
            <w:pPr>
              <w:ind w:left="113" w:hanging="113"/>
              <w:rPr>
                <w:rFonts w:cs="Arial"/>
                <w:sz w:val="20"/>
                <w:szCs w:val="20"/>
              </w:rPr>
            </w:pPr>
          </w:p>
        </w:tc>
      </w:tr>
      <w:tr w:rsidR="00DF0496" w:rsidRPr="0042531B" w:rsidTr="00594AE7">
        <w:tc>
          <w:tcPr>
            <w:tcW w:w="1885" w:type="dxa"/>
          </w:tcPr>
          <w:p w:rsidR="00DF0496" w:rsidRPr="0042531B" w:rsidRDefault="00DF0496" w:rsidP="00DF0496">
            <w:pPr>
              <w:rPr>
                <w:rFonts w:cs="Arial"/>
                <w:b/>
                <w:bCs/>
                <w:sz w:val="20"/>
                <w:szCs w:val="20"/>
              </w:rPr>
            </w:pPr>
            <w:r w:rsidRPr="0042531B">
              <w:rPr>
                <w:b/>
                <w:bCs/>
                <w:sz w:val="20"/>
                <w:szCs w:val="20"/>
              </w:rPr>
              <w:t>Industry</w:t>
            </w:r>
          </w:p>
          <w:p w:rsidR="00DF0496" w:rsidRPr="0042531B" w:rsidRDefault="00DF0496" w:rsidP="00DF0496">
            <w:pPr>
              <w:rPr>
                <w:sz w:val="20"/>
                <w:szCs w:val="20"/>
              </w:rPr>
            </w:pPr>
          </w:p>
        </w:tc>
        <w:tc>
          <w:tcPr>
            <w:tcW w:w="5701" w:type="dxa"/>
          </w:tcPr>
          <w:p w:rsidR="00BB2B60" w:rsidRPr="00291224" w:rsidRDefault="008D71CF" w:rsidP="00804D87">
            <w:pPr>
              <w:ind w:left="113" w:hanging="113"/>
              <w:rPr>
                <w:rFonts w:cs="Arial"/>
                <w:sz w:val="20"/>
                <w:szCs w:val="20"/>
              </w:rPr>
            </w:pPr>
            <w:r w:rsidRPr="00291224">
              <w:rPr>
                <w:rFonts w:cs="Arial"/>
                <w:sz w:val="20"/>
                <w:szCs w:val="20"/>
              </w:rPr>
              <w:t>A</w:t>
            </w:r>
            <w:r w:rsidR="00F30C12" w:rsidRPr="00291224">
              <w:rPr>
                <w:rFonts w:cs="Arial"/>
                <w:sz w:val="20"/>
                <w:szCs w:val="20"/>
              </w:rPr>
              <w:t>vailability of an alternative internationally-endorsed phytosanitary measure when the current chemical-based treatments are restricted</w:t>
            </w:r>
            <w:r w:rsidRPr="00291224">
              <w:rPr>
                <w:rFonts w:cs="Arial"/>
                <w:sz w:val="20"/>
                <w:szCs w:val="20"/>
              </w:rPr>
              <w:t>.</w:t>
            </w:r>
            <w:r w:rsidR="00BB2B60" w:rsidRPr="00291224">
              <w:rPr>
                <w:sz w:val="20"/>
                <w:szCs w:val="20"/>
              </w:rPr>
              <w:t xml:space="preserve"> </w:t>
            </w:r>
            <w:r w:rsidR="00BB2B60" w:rsidRPr="00291224">
              <w:rPr>
                <w:rFonts w:cs="Arial"/>
                <w:sz w:val="20"/>
                <w:szCs w:val="20"/>
              </w:rPr>
              <w:t>Other postharvest options for example, heat treatments, cold disinfestation, fumigants, new insecticides are available, although unsuited for use for particular fresh produce due to possible phytotoxi</w:t>
            </w:r>
            <w:r w:rsidR="0050016C" w:rsidRPr="00291224">
              <w:rPr>
                <w:rFonts w:cs="Arial"/>
                <w:sz w:val="20"/>
                <w:szCs w:val="20"/>
              </w:rPr>
              <w:t>ci</w:t>
            </w:r>
            <w:r w:rsidR="00BB2B60" w:rsidRPr="00291224">
              <w:rPr>
                <w:rFonts w:cs="Arial"/>
                <w:sz w:val="20"/>
                <w:szCs w:val="20"/>
              </w:rPr>
              <w:t xml:space="preserve">ty and quality issues, length of treatment time, as well as costs or the time frame needed to gain approval from quarantine authorities.  </w:t>
            </w:r>
          </w:p>
          <w:p w:rsidR="008D71CF" w:rsidRPr="00291224" w:rsidRDefault="008D71CF" w:rsidP="00804D87">
            <w:pPr>
              <w:ind w:left="113" w:hanging="113"/>
              <w:rPr>
                <w:rFonts w:cs="Arial"/>
                <w:sz w:val="20"/>
                <w:szCs w:val="20"/>
              </w:rPr>
            </w:pPr>
          </w:p>
          <w:p w:rsidR="008D71CF" w:rsidRPr="00291224" w:rsidRDefault="008D71CF" w:rsidP="00804D87">
            <w:pPr>
              <w:ind w:left="113" w:hanging="113"/>
              <w:rPr>
                <w:rFonts w:cs="Arial"/>
                <w:sz w:val="20"/>
                <w:szCs w:val="20"/>
              </w:rPr>
            </w:pPr>
            <w:r w:rsidRPr="00291224">
              <w:rPr>
                <w:rFonts w:cs="Arial"/>
                <w:sz w:val="20"/>
                <w:szCs w:val="20"/>
              </w:rPr>
              <w:t>I</w:t>
            </w:r>
            <w:r w:rsidR="00F30C12" w:rsidRPr="00291224">
              <w:rPr>
                <w:rFonts w:cs="Arial"/>
                <w:sz w:val="20"/>
                <w:szCs w:val="20"/>
              </w:rPr>
              <w:t xml:space="preserve">ncreased shelf life and quality </w:t>
            </w:r>
            <w:r w:rsidRPr="00291224">
              <w:rPr>
                <w:rFonts w:cs="Arial"/>
                <w:sz w:val="20"/>
                <w:szCs w:val="20"/>
              </w:rPr>
              <w:t>of fruit</w:t>
            </w:r>
            <w:r w:rsidR="00250C1C" w:rsidRPr="00291224">
              <w:rPr>
                <w:rFonts w:cs="Arial"/>
                <w:sz w:val="20"/>
                <w:szCs w:val="20"/>
              </w:rPr>
              <w:t xml:space="preserve"> and vegetables</w:t>
            </w:r>
            <w:r w:rsidRPr="00291224">
              <w:rPr>
                <w:rFonts w:cs="Arial"/>
                <w:sz w:val="20"/>
                <w:szCs w:val="20"/>
              </w:rPr>
              <w:t>, depending on the dose.</w:t>
            </w:r>
          </w:p>
          <w:p w:rsidR="0042531B" w:rsidRPr="00291224" w:rsidRDefault="0042531B" w:rsidP="00804D87">
            <w:pPr>
              <w:ind w:left="113" w:hanging="113"/>
              <w:rPr>
                <w:rFonts w:cs="Arial"/>
                <w:sz w:val="20"/>
                <w:szCs w:val="20"/>
              </w:rPr>
            </w:pPr>
          </w:p>
          <w:p w:rsidR="00F30C12" w:rsidRPr="00291224" w:rsidRDefault="008D71CF" w:rsidP="00804D87">
            <w:pPr>
              <w:ind w:left="113" w:hanging="113"/>
              <w:rPr>
                <w:rFonts w:cs="Arial"/>
                <w:sz w:val="20"/>
                <w:szCs w:val="20"/>
              </w:rPr>
            </w:pPr>
            <w:r w:rsidRPr="00291224">
              <w:rPr>
                <w:rFonts w:cs="Arial"/>
                <w:sz w:val="20"/>
                <w:szCs w:val="20"/>
              </w:rPr>
              <w:t>A</w:t>
            </w:r>
            <w:r w:rsidR="00F30C12" w:rsidRPr="00291224">
              <w:rPr>
                <w:rFonts w:cs="Arial"/>
                <w:sz w:val="20"/>
                <w:szCs w:val="20"/>
              </w:rPr>
              <w:t>ssistance and maintenance of the economic viability of an important segment of the horticulture sector</w:t>
            </w:r>
            <w:r w:rsidRPr="00291224">
              <w:rPr>
                <w:rFonts w:cs="Arial"/>
                <w:sz w:val="20"/>
                <w:szCs w:val="20"/>
              </w:rPr>
              <w:t>.</w:t>
            </w:r>
          </w:p>
          <w:p w:rsidR="008D71CF" w:rsidRPr="00291224" w:rsidRDefault="008D71CF" w:rsidP="00804D87">
            <w:pPr>
              <w:ind w:left="113" w:hanging="113"/>
              <w:rPr>
                <w:rFonts w:cs="Arial"/>
                <w:sz w:val="20"/>
                <w:szCs w:val="20"/>
              </w:rPr>
            </w:pPr>
          </w:p>
          <w:p w:rsidR="008D71CF" w:rsidRPr="00291224" w:rsidRDefault="008D71CF" w:rsidP="00804D87">
            <w:pPr>
              <w:ind w:left="113" w:hanging="113"/>
              <w:rPr>
                <w:rFonts w:cs="Arial"/>
                <w:sz w:val="20"/>
                <w:szCs w:val="20"/>
              </w:rPr>
            </w:pPr>
            <w:r w:rsidRPr="00291224">
              <w:rPr>
                <w:rFonts w:cs="Arial"/>
                <w:sz w:val="20"/>
                <w:szCs w:val="20"/>
              </w:rPr>
              <w:t>I</w:t>
            </w:r>
            <w:r w:rsidR="00F30C12" w:rsidRPr="00291224">
              <w:rPr>
                <w:rFonts w:cs="Arial"/>
                <w:sz w:val="20"/>
                <w:szCs w:val="20"/>
              </w:rPr>
              <w:t>ncreased trade opportunities and increased markets available to growers due to an alternative treatment being available to meet quarantine requirements</w:t>
            </w:r>
            <w:r w:rsidR="00B50C83" w:rsidRPr="00291224">
              <w:rPr>
                <w:rFonts w:cs="Arial"/>
                <w:sz w:val="20"/>
                <w:szCs w:val="20"/>
              </w:rPr>
              <w:t>. P</w:t>
            </w:r>
            <w:r w:rsidR="00F30C12" w:rsidRPr="00291224">
              <w:rPr>
                <w:rFonts w:cs="Arial"/>
                <w:sz w:val="20"/>
                <w:szCs w:val="20"/>
              </w:rPr>
              <w:t>ermission to irradiate could facilitate market access to New Zealand</w:t>
            </w:r>
            <w:r w:rsidRPr="00291224">
              <w:rPr>
                <w:rFonts w:cs="Arial"/>
                <w:sz w:val="20"/>
                <w:szCs w:val="20"/>
              </w:rPr>
              <w:t>.</w:t>
            </w:r>
          </w:p>
          <w:p w:rsidR="00804D87" w:rsidRPr="00291224" w:rsidRDefault="00804D87" w:rsidP="00804D87">
            <w:pPr>
              <w:ind w:left="113" w:hanging="113"/>
              <w:rPr>
                <w:rFonts w:cs="Arial"/>
                <w:sz w:val="20"/>
                <w:szCs w:val="20"/>
              </w:rPr>
            </w:pPr>
          </w:p>
          <w:p w:rsidR="00DF0496" w:rsidRPr="00291224" w:rsidRDefault="008D71CF" w:rsidP="00804D87">
            <w:pPr>
              <w:ind w:left="113" w:hanging="113"/>
              <w:rPr>
                <w:rFonts w:cs="Arial"/>
                <w:sz w:val="20"/>
                <w:szCs w:val="20"/>
              </w:rPr>
            </w:pPr>
            <w:r w:rsidRPr="00291224">
              <w:rPr>
                <w:rFonts w:cs="Arial"/>
                <w:sz w:val="20"/>
                <w:szCs w:val="20"/>
              </w:rPr>
              <w:t>I</w:t>
            </w:r>
            <w:r w:rsidR="00F30C12" w:rsidRPr="00291224">
              <w:rPr>
                <w:rFonts w:cs="Arial"/>
                <w:sz w:val="20"/>
                <w:szCs w:val="20"/>
              </w:rPr>
              <w:t xml:space="preserve">ntroduction of a cost-effective technology in relation to other alternative treatments (hot water, vapour heat treatment, cold or heat treatment) without some of the inherent quality issues that alternative treatments may </w:t>
            </w:r>
            <w:r w:rsidR="00A10812" w:rsidRPr="00291224">
              <w:rPr>
                <w:rFonts w:cs="Arial"/>
                <w:sz w:val="20"/>
                <w:szCs w:val="20"/>
              </w:rPr>
              <w:t>c</w:t>
            </w:r>
            <w:r w:rsidR="00A552BC" w:rsidRPr="00291224">
              <w:rPr>
                <w:rFonts w:cs="Arial"/>
                <w:sz w:val="20"/>
                <w:szCs w:val="20"/>
              </w:rPr>
              <w:t xml:space="preserve">ause. </w:t>
            </w:r>
          </w:p>
          <w:p w:rsidR="00AB03E6" w:rsidRPr="00291224" w:rsidRDefault="00AB03E6" w:rsidP="00804D87">
            <w:pPr>
              <w:ind w:left="113" w:hanging="113"/>
              <w:rPr>
                <w:rFonts w:cs="Arial"/>
                <w:sz w:val="20"/>
                <w:szCs w:val="20"/>
              </w:rPr>
            </w:pPr>
          </w:p>
          <w:p w:rsidR="00AB03E6" w:rsidRPr="00291224" w:rsidRDefault="00AB03E6" w:rsidP="00804D87">
            <w:pPr>
              <w:ind w:left="113" w:hanging="113"/>
              <w:rPr>
                <w:rFonts w:cs="Arial"/>
                <w:sz w:val="20"/>
                <w:szCs w:val="20"/>
              </w:rPr>
            </w:pPr>
            <w:r w:rsidRPr="00291224">
              <w:rPr>
                <w:rFonts w:cs="Arial"/>
                <w:sz w:val="20"/>
                <w:szCs w:val="20"/>
              </w:rPr>
              <w:t>Reduction in the costs of using pesticides</w:t>
            </w:r>
          </w:p>
          <w:p w:rsidR="00265DFF" w:rsidRPr="00291224" w:rsidRDefault="00265DFF" w:rsidP="00804D87">
            <w:pPr>
              <w:ind w:left="113" w:hanging="113"/>
              <w:rPr>
                <w:rFonts w:cs="Arial"/>
                <w:sz w:val="20"/>
                <w:szCs w:val="20"/>
              </w:rPr>
            </w:pPr>
          </w:p>
        </w:tc>
        <w:tc>
          <w:tcPr>
            <w:tcW w:w="6414" w:type="dxa"/>
          </w:tcPr>
          <w:p w:rsidR="006A3CED" w:rsidRPr="00291224" w:rsidRDefault="006A3CED" w:rsidP="00804D87">
            <w:pPr>
              <w:ind w:left="113" w:hanging="113"/>
              <w:rPr>
                <w:rFonts w:cs="Arial"/>
                <w:sz w:val="20"/>
                <w:szCs w:val="20"/>
              </w:rPr>
            </w:pPr>
            <w:r w:rsidRPr="00291224">
              <w:rPr>
                <w:rFonts w:cs="Arial"/>
                <w:sz w:val="20"/>
                <w:szCs w:val="20"/>
              </w:rPr>
              <w:lastRenderedPageBreak/>
              <w:t xml:space="preserve">Where producers opt to voluntarily adopt irradiation of </w:t>
            </w:r>
            <w:r w:rsidR="005E3F25" w:rsidRPr="00291224">
              <w:rPr>
                <w:rFonts w:cs="Arial"/>
                <w:sz w:val="20"/>
                <w:szCs w:val="20"/>
              </w:rPr>
              <w:t>fruits</w:t>
            </w:r>
            <w:r w:rsidR="00250C1C" w:rsidRPr="00291224">
              <w:rPr>
                <w:rFonts w:cs="Arial"/>
                <w:sz w:val="20"/>
                <w:szCs w:val="20"/>
              </w:rPr>
              <w:t xml:space="preserve"> and vegetables</w:t>
            </w:r>
            <w:r w:rsidRPr="00291224">
              <w:rPr>
                <w:rFonts w:cs="Arial"/>
                <w:sz w:val="20"/>
                <w:szCs w:val="20"/>
              </w:rPr>
              <w:t>, they could incur costs associated with the initial establishment of an irradiation facility, as well as the ongoing treatment of produce. Because the decision to adopt irradiation is voluntary, food businesses would only adopt such a course of action if there are financial gains in it for them.</w:t>
            </w:r>
          </w:p>
          <w:p w:rsidR="006A3CED" w:rsidRPr="00291224" w:rsidRDefault="006A3CED" w:rsidP="00804D87">
            <w:pPr>
              <w:ind w:left="113" w:hanging="113"/>
              <w:rPr>
                <w:rFonts w:cs="Arial"/>
                <w:sz w:val="20"/>
                <w:szCs w:val="20"/>
              </w:rPr>
            </w:pPr>
          </w:p>
          <w:p w:rsidR="00F30C12" w:rsidRPr="00291224" w:rsidRDefault="00965053" w:rsidP="00804D87">
            <w:pPr>
              <w:ind w:left="113" w:hanging="113"/>
              <w:rPr>
                <w:rFonts w:cs="Arial"/>
                <w:sz w:val="20"/>
                <w:szCs w:val="20"/>
              </w:rPr>
            </w:pPr>
            <w:r w:rsidRPr="00291224">
              <w:rPr>
                <w:rFonts w:cs="Arial"/>
                <w:sz w:val="20"/>
                <w:szCs w:val="20"/>
              </w:rPr>
              <w:t>If needed the i</w:t>
            </w:r>
            <w:r w:rsidR="00F30C12" w:rsidRPr="00291224">
              <w:rPr>
                <w:rFonts w:cs="Arial"/>
                <w:sz w:val="20"/>
                <w:szCs w:val="20"/>
              </w:rPr>
              <w:t xml:space="preserve">nitial </w:t>
            </w:r>
            <w:r w:rsidRPr="00291224">
              <w:rPr>
                <w:rFonts w:cs="Arial"/>
                <w:sz w:val="20"/>
                <w:szCs w:val="20"/>
              </w:rPr>
              <w:t xml:space="preserve">set-up costs in establishing a dedicated </w:t>
            </w:r>
            <w:r w:rsidR="00F30C12" w:rsidRPr="00291224">
              <w:rPr>
                <w:rFonts w:cs="Arial"/>
                <w:sz w:val="20"/>
                <w:szCs w:val="20"/>
              </w:rPr>
              <w:t>irradiation facility including building and capital may be significant.</w:t>
            </w:r>
          </w:p>
          <w:p w:rsidR="00F30C12" w:rsidRPr="00291224" w:rsidRDefault="00F30C12" w:rsidP="00804D87">
            <w:pPr>
              <w:ind w:left="113" w:hanging="113"/>
              <w:rPr>
                <w:rFonts w:cs="Arial"/>
                <w:sz w:val="20"/>
                <w:szCs w:val="20"/>
              </w:rPr>
            </w:pPr>
          </w:p>
          <w:p w:rsidR="00F30C12" w:rsidRPr="00291224" w:rsidRDefault="00F30C12" w:rsidP="00804D87">
            <w:pPr>
              <w:ind w:left="113" w:hanging="113"/>
              <w:rPr>
                <w:rFonts w:cs="Arial"/>
                <w:sz w:val="20"/>
                <w:szCs w:val="20"/>
              </w:rPr>
            </w:pPr>
            <w:r w:rsidRPr="00291224">
              <w:rPr>
                <w:rFonts w:cs="Arial"/>
                <w:sz w:val="20"/>
                <w:szCs w:val="20"/>
              </w:rPr>
              <w:t xml:space="preserve">Costs to industry of treatment and transport </w:t>
            </w:r>
            <w:r w:rsidR="00872883" w:rsidRPr="00291224">
              <w:rPr>
                <w:rFonts w:cs="Arial"/>
                <w:sz w:val="20"/>
                <w:szCs w:val="20"/>
              </w:rPr>
              <w:t xml:space="preserve">of </w:t>
            </w:r>
            <w:r w:rsidRPr="00291224">
              <w:rPr>
                <w:rFonts w:cs="Arial"/>
                <w:sz w:val="20"/>
                <w:szCs w:val="20"/>
              </w:rPr>
              <w:t>irradiated foods.</w:t>
            </w:r>
          </w:p>
          <w:p w:rsidR="00F30C12" w:rsidRPr="00291224" w:rsidRDefault="00F30C12" w:rsidP="00804D87">
            <w:pPr>
              <w:ind w:left="113" w:hanging="113"/>
              <w:rPr>
                <w:rFonts w:cs="Arial"/>
                <w:sz w:val="20"/>
                <w:szCs w:val="20"/>
              </w:rPr>
            </w:pPr>
          </w:p>
          <w:p w:rsidR="00F30C12" w:rsidRPr="00291224" w:rsidRDefault="00F55B40" w:rsidP="00804D87">
            <w:pPr>
              <w:ind w:left="113" w:hanging="113"/>
              <w:rPr>
                <w:rFonts w:cs="Arial"/>
                <w:sz w:val="20"/>
                <w:szCs w:val="20"/>
              </w:rPr>
            </w:pPr>
            <w:r w:rsidRPr="00291224">
              <w:rPr>
                <w:rFonts w:cs="Arial"/>
                <w:sz w:val="20"/>
                <w:szCs w:val="20"/>
              </w:rPr>
              <w:t>I</w:t>
            </w:r>
            <w:r w:rsidR="00F30C12" w:rsidRPr="00291224">
              <w:rPr>
                <w:rFonts w:cs="Arial"/>
                <w:sz w:val="20"/>
                <w:szCs w:val="20"/>
              </w:rPr>
              <w:t>n a situation where manufacturers may have access to both irradiated and non-irradiated produce at different times of the year, there will also be a cost for maintaining 2 different label stocks</w:t>
            </w:r>
            <w:r w:rsidR="00B50C83" w:rsidRPr="00291224">
              <w:rPr>
                <w:rFonts w:cs="Arial"/>
                <w:sz w:val="20"/>
                <w:szCs w:val="20"/>
              </w:rPr>
              <w:t xml:space="preserve">, </w:t>
            </w:r>
            <w:r w:rsidR="00F30C12" w:rsidRPr="00291224">
              <w:rPr>
                <w:rFonts w:cs="Arial"/>
                <w:sz w:val="20"/>
                <w:szCs w:val="20"/>
              </w:rPr>
              <w:t xml:space="preserve">one declaring the use of irradiated produce and one without. This potentially makes Australian </w:t>
            </w:r>
            <w:r w:rsidR="00872883" w:rsidRPr="00291224">
              <w:rPr>
                <w:rFonts w:cs="Arial"/>
                <w:sz w:val="20"/>
                <w:szCs w:val="20"/>
              </w:rPr>
              <w:t xml:space="preserve">products </w:t>
            </w:r>
            <w:r w:rsidR="00F30C12" w:rsidRPr="00291224">
              <w:rPr>
                <w:rFonts w:cs="Arial"/>
                <w:sz w:val="20"/>
                <w:szCs w:val="20"/>
              </w:rPr>
              <w:t>less competitive when compared to imported equivalent products that are not irradiated.</w:t>
            </w:r>
          </w:p>
          <w:p w:rsidR="00F30C12" w:rsidRPr="00291224" w:rsidRDefault="00F30C12" w:rsidP="00804D87">
            <w:pPr>
              <w:ind w:left="113" w:hanging="113"/>
              <w:rPr>
                <w:rFonts w:cs="Arial"/>
                <w:sz w:val="20"/>
                <w:szCs w:val="20"/>
              </w:rPr>
            </w:pPr>
          </w:p>
          <w:p w:rsidR="00804D87" w:rsidRPr="00291224" w:rsidRDefault="00804D87" w:rsidP="00804D87">
            <w:pPr>
              <w:ind w:left="113" w:hanging="113"/>
              <w:rPr>
                <w:rFonts w:cs="Arial"/>
                <w:sz w:val="20"/>
                <w:szCs w:val="20"/>
              </w:rPr>
            </w:pPr>
          </w:p>
          <w:p w:rsidR="00804D87" w:rsidRPr="00291224" w:rsidRDefault="00804D87" w:rsidP="00804D87">
            <w:pPr>
              <w:ind w:left="113" w:hanging="113"/>
              <w:rPr>
                <w:rFonts w:cs="Arial"/>
                <w:sz w:val="20"/>
                <w:szCs w:val="20"/>
              </w:rPr>
            </w:pPr>
          </w:p>
          <w:p w:rsidR="00F30C12" w:rsidRPr="00291224" w:rsidRDefault="00F30C12" w:rsidP="00804D87">
            <w:pPr>
              <w:ind w:left="113" w:hanging="113"/>
              <w:rPr>
                <w:rFonts w:cs="Arial"/>
                <w:sz w:val="20"/>
                <w:szCs w:val="20"/>
              </w:rPr>
            </w:pPr>
            <w:r w:rsidRPr="00291224">
              <w:rPr>
                <w:rFonts w:cs="Arial"/>
                <w:sz w:val="20"/>
                <w:szCs w:val="20"/>
              </w:rPr>
              <w:t>There may be added cost in the supply chain due to the requirements to track, and possibly segregate, irradiated produce to ensure that labelling requirements are met.</w:t>
            </w:r>
          </w:p>
          <w:p w:rsidR="00265DFF" w:rsidRPr="00291224" w:rsidRDefault="00265DFF" w:rsidP="00804D87">
            <w:pPr>
              <w:ind w:left="113" w:hanging="113"/>
              <w:rPr>
                <w:rFonts w:cs="Arial"/>
                <w:sz w:val="20"/>
                <w:szCs w:val="20"/>
              </w:rPr>
            </w:pPr>
          </w:p>
          <w:p w:rsidR="00DF0496" w:rsidRPr="00291224" w:rsidRDefault="00F30C12" w:rsidP="00804D87">
            <w:pPr>
              <w:ind w:left="113" w:hanging="113"/>
              <w:rPr>
                <w:rFonts w:cs="Arial"/>
                <w:sz w:val="20"/>
                <w:szCs w:val="20"/>
              </w:rPr>
            </w:pPr>
            <w:r w:rsidRPr="00291224">
              <w:rPr>
                <w:rFonts w:cs="Arial"/>
                <w:sz w:val="20"/>
                <w:szCs w:val="20"/>
              </w:rPr>
              <w:t>Potential cost in ascertaining consumer acceptance of irradiated</w:t>
            </w:r>
            <w:r w:rsidR="00701FD4" w:rsidRPr="00291224">
              <w:rPr>
                <w:rFonts w:cs="Arial"/>
                <w:sz w:val="20"/>
                <w:szCs w:val="20"/>
              </w:rPr>
              <w:t xml:space="preserve"> commodities. </w:t>
            </w:r>
          </w:p>
          <w:p w:rsidR="006724FB" w:rsidRPr="00291224" w:rsidRDefault="006724FB" w:rsidP="00804D87">
            <w:pPr>
              <w:ind w:left="113" w:hanging="113"/>
              <w:rPr>
                <w:rFonts w:cs="Arial"/>
                <w:sz w:val="20"/>
                <w:szCs w:val="20"/>
              </w:rPr>
            </w:pPr>
          </w:p>
        </w:tc>
      </w:tr>
      <w:tr w:rsidR="00DF0496" w:rsidRPr="0042531B" w:rsidTr="00594AE7">
        <w:tc>
          <w:tcPr>
            <w:tcW w:w="1885" w:type="dxa"/>
          </w:tcPr>
          <w:p w:rsidR="00DF0496" w:rsidRPr="0042531B" w:rsidRDefault="00DF0496" w:rsidP="00DF0496">
            <w:pPr>
              <w:rPr>
                <w:rFonts w:cs="Arial"/>
                <w:b/>
                <w:bCs/>
                <w:sz w:val="20"/>
                <w:szCs w:val="20"/>
              </w:rPr>
            </w:pPr>
            <w:r w:rsidRPr="0042531B">
              <w:rPr>
                <w:b/>
                <w:bCs/>
                <w:sz w:val="20"/>
                <w:szCs w:val="20"/>
              </w:rPr>
              <w:lastRenderedPageBreak/>
              <w:t>Consumers</w:t>
            </w:r>
          </w:p>
        </w:tc>
        <w:tc>
          <w:tcPr>
            <w:tcW w:w="5701" w:type="dxa"/>
          </w:tcPr>
          <w:p w:rsidR="00A552BC" w:rsidRPr="00291224" w:rsidRDefault="00A552BC" w:rsidP="00804D87">
            <w:pPr>
              <w:ind w:left="113" w:hanging="113"/>
              <w:rPr>
                <w:sz w:val="20"/>
                <w:szCs w:val="20"/>
              </w:rPr>
            </w:pPr>
            <w:r w:rsidRPr="00291224">
              <w:rPr>
                <w:sz w:val="20"/>
                <w:szCs w:val="20"/>
              </w:rPr>
              <w:t>P</w:t>
            </w:r>
            <w:r w:rsidR="004B2414" w:rsidRPr="00291224">
              <w:rPr>
                <w:sz w:val="20"/>
                <w:szCs w:val="20"/>
              </w:rPr>
              <w:t>ossibly greater year-round availab</w:t>
            </w:r>
            <w:r w:rsidR="00701FD4" w:rsidRPr="00291224">
              <w:rPr>
                <w:sz w:val="20"/>
                <w:szCs w:val="20"/>
              </w:rPr>
              <w:t xml:space="preserve">ility of these commodities </w:t>
            </w:r>
            <w:r w:rsidR="004B2414" w:rsidRPr="00291224">
              <w:rPr>
                <w:sz w:val="20"/>
                <w:szCs w:val="20"/>
              </w:rPr>
              <w:t>in some markets/regions in Australia and New Zealand</w:t>
            </w:r>
            <w:r w:rsidRPr="00291224">
              <w:rPr>
                <w:sz w:val="20"/>
                <w:szCs w:val="20"/>
              </w:rPr>
              <w:t>.</w:t>
            </w:r>
          </w:p>
          <w:p w:rsidR="00A552BC" w:rsidRPr="00291224" w:rsidRDefault="00A552BC" w:rsidP="00804D87">
            <w:pPr>
              <w:ind w:left="113" w:hanging="113"/>
              <w:rPr>
                <w:sz w:val="20"/>
                <w:szCs w:val="20"/>
              </w:rPr>
            </w:pPr>
          </w:p>
          <w:p w:rsidR="004B2414" w:rsidRPr="00291224" w:rsidRDefault="00A552BC" w:rsidP="00804D87">
            <w:pPr>
              <w:ind w:left="113" w:hanging="113"/>
              <w:rPr>
                <w:sz w:val="20"/>
                <w:szCs w:val="20"/>
              </w:rPr>
            </w:pPr>
            <w:r w:rsidRPr="00291224">
              <w:rPr>
                <w:sz w:val="20"/>
                <w:szCs w:val="20"/>
              </w:rPr>
              <w:t>P</w:t>
            </w:r>
            <w:r w:rsidR="004B2414" w:rsidRPr="00291224">
              <w:rPr>
                <w:sz w:val="20"/>
                <w:szCs w:val="20"/>
              </w:rPr>
              <w:t xml:space="preserve">ossibly better quality fruit </w:t>
            </w:r>
            <w:r w:rsidR="00250C1C" w:rsidRPr="00291224">
              <w:rPr>
                <w:rFonts w:cs="Arial"/>
                <w:sz w:val="20"/>
                <w:szCs w:val="20"/>
              </w:rPr>
              <w:t>and vegetables</w:t>
            </w:r>
            <w:r w:rsidR="00250C1C" w:rsidRPr="00291224">
              <w:rPr>
                <w:sz w:val="20"/>
                <w:szCs w:val="20"/>
              </w:rPr>
              <w:t xml:space="preserve"> </w:t>
            </w:r>
            <w:r w:rsidR="004B2414" w:rsidRPr="00291224">
              <w:rPr>
                <w:sz w:val="20"/>
                <w:szCs w:val="20"/>
              </w:rPr>
              <w:t xml:space="preserve">depending on the dose of irradiation, as other treatments (such as heat and cold) can affect fruit </w:t>
            </w:r>
            <w:r w:rsidR="00250C1C" w:rsidRPr="00291224">
              <w:rPr>
                <w:rFonts w:cs="Arial"/>
                <w:sz w:val="20"/>
                <w:szCs w:val="20"/>
              </w:rPr>
              <w:t>and vegetable</w:t>
            </w:r>
            <w:r w:rsidR="00250C1C" w:rsidRPr="00291224">
              <w:rPr>
                <w:sz w:val="20"/>
                <w:szCs w:val="20"/>
              </w:rPr>
              <w:t xml:space="preserve"> </w:t>
            </w:r>
            <w:r w:rsidR="004B2414" w:rsidRPr="00291224">
              <w:rPr>
                <w:sz w:val="20"/>
                <w:szCs w:val="20"/>
              </w:rPr>
              <w:t>quality</w:t>
            </w:r>
            <w:r w:rsidRPr="00291224">
              <w:rPr>
                <w:sz w:val="20"/>
                <w:szCs w:val="20"/>
              </w:rPr>
              <w:t>.</w:t>
            </w:r>
          </w:p>
          <w:p w:rsidR="00A552BC" w:rsidRPr="00291224" w:rsidRDefault="00A552BC" w:rsidP="00804D87">
            <w:pPr>
              <w:ind w:left="113" w:hanging="113"/>
              <w:rPr>
                <w:sz w:val="20"/>
                <w:szCs w:val="20"/>
              </w:rPr>
            </w:pPr>
          </w:p>
          <w:p w:rsidR="00A552BC" w:rsidRPr="00291224" w:rsidRDefault="00A552BC" w:rsidP="00804D87">
            <w:pPr>
              <w:ind w:left="113" w:hanging="113"/>
              <w:rPr>
                <w:sz w:val="20"/>
                <w:szCs w:val="20"/>
              </w:rPr>
            </w:pPr>
            <w:r w:rsidRPr="00291224">
              <w:rPr>
                <w:sz w:val="20"/>
                <w:szCs w:val="20"/>
              </w:rPr>
              <w:t>P</w:t>
            </w:r>
            <w:r w:rsidR="004B2414" w:rsidRPr="00291224">
              <w:rPr>
                <w:sz w:val="20"/>
                <w:szCs w:val="20"/>
              </w:rPr>
              <w:t>roduce may be transported for longer periods while maintaining desirable sensory qualities for consumers</w:t>
            </w:r>
            <w:r w:rsidRPr="00291224">
              <w:rPr>
                <w:sz w:val="20"/>
                <w:szCs w:val="20"/>
              </w:rPr>
              <w:t>.</w:t>
            </w:r>
          </w:p>
          <w:p w:rsidR="00A552BC" w:rsidRPr="00291224" w:rsidRDefault="00A552BC" w:rsidP="00804D87">
            <w:pPr>
              <w:ind w:left="113" w:hanging="113"/>
              <w:rPr>
                <w:sz w:val="20"/>
                <w:szCs w:val="20"/>
              </w:rPr>
            </w:pPr>
          </w:p>
          <w:p w:rsidR="00A552BC" w:rsidRPr="00291224" w:rsidRDefault="00A552BC" w:rsidP="00804D87">
            <w:pPr>
              <w:ind w:left="113" w:hanging="113"/>
              <w:rPr>
                <w:sz w:val="20"/>
                <w:szCs w:val="20"/>
              </w:rPr>
            </w:pPr>
            <w:r w:rsidRPr="00291224">
              <w:rPr>
                <w:sz w:val="20"/>
                <w:szCs w:val="20"/>
              </w:rPr>
              <w:t>P</w:t>
            </w:r>
            <w:r w:rsidR="004B2414" w:rsidRPr="00291224">
              <w:rPr>
                <w:sz w:val="20"/>
                <w:szCs w:val="20"/>
              </w:rPr>
              <w:t>rovides choice to consumers wanting to avoid exposure to other treatments such as chemicals</w:t>
            </w:r>
            <w:r w:rsidR="005C39A2" w:rsidRPr="00291224">
              <w:rPr>
                <w:sz w:val="20"/>
                <w:szCs w:val="20"/>
              </w:rPr>
              <w:t xml:space="preserve"> and the resulting residues in those foods</w:t>
            </w:r>
            <w:r w:rsidRPr="00291224">
              <w:rPr>
                <w:sz w:val="20"/>
                <w:szCs w:val="20"/>
              </w:rPr>
              <w:t>.</w:t>
            </w:r>
          </w:p>
          <w:p w:rsidR="00A552BC" w:rsidRPr="00291224" w:rsidRDefault="00A552BC" w:rsidP="00804D87">
            <w:pPr>
              <w:ind w:left="113" w:hanging="113"/>
              <w:rPr>
                <w:sz w:val="20"/>
                <w:szCs w:val="20"/>
              </w:rPr>
            </w:pPr>
          </w:p>
          <w:p w:rsidR="00DF0496" w:rsidRPr="00291224" w:rsidRDefault="00A552BC" w:rsidP="00804D87">
            <w:pPr>
              <w:ind w:left="113" w:hanging="113"/>
              <w:rPr>
                <w:sz w:val="20"/>
                <w:szCs w:val="20"/>
              </w:rPr>
            </w:pPr>
            <w:r w:rsidRPr="00291224">
              <w:rPr>
                <w:sz w:val="20"/>
                <w:szCs w:val="20"/>
              </w:rPr>
              <w:t>A</w:t>
            </w:r>
            <w:r w:rsidR="000647BA" w:rsidRPr="00291224">
              <w:rPr>
                <w:sz w:val="20"/>
                <w:szCs w:val="20"/>
              </w:rPr>
              <w:t xml:space="preserve">pproval of these commodities </w:t>
            </w:r>
            <w:r w:rsidR="004B2414" w:rsidRPr="00291224">
              <w:rPr>
                <w:sz w:val="20"/>
                <w:szCs w:val="20"/>
              </w:rPr>
              <w:t>may increase competition in the marketplace, improve seasonal availability and increase price competition.</w:t>
            </w:r>
          </w:p>
          <w:p w:rsidR="00265DFF" w:rsidRPr="00291224" w:rsidRDefault="00265DFF" w:rsidP="00804D87">
            <w:pPr>
              <w:ind w:left="113" w:hanging="113"/>
              <w:rPr>
                <w:sz w:val="20"/>
                <w:szCs w:val="20"/>
              </w:rPr>
            </w:pPr>
          </w:p>
        </w:tc>
        <w:tc>
          <w:tcPr>
            <w:tcW w:w="6414" w:type="dxa"/>
          </w:tcPr>
          <w:p w:rsidR="00DF0496" w:rsidRPr="00291224" w:rsidRDefault="00F30C12" w:rsidP="00804D87">
            <w:pPr>
              <w:ind w:left="113" w:hanging="113"/>
              <w:rPr>
                <w:sz w:val="20"/>
                <w:szCs w:val="20"/>
              </w:rPr>
            </w:pPr>
            <w:r w:rsidRPr="00291224">
              <w:rPr>
                <w:sz w:val="20"/>
                <w:szCs w:val="20"/>
              </w:rPr>
              <w:t>A potential cost to consumers is that ir</w:t>
            </w:r>
            <w:r w:rsidR="00A552BC" w:rsidRPr="00291224">
              <w:rPr>
                <w:sz w:val="20"/>
                <w:szCs w:val="20"/>
              </w:rPr>
              <w:t xml:space="preserve">radiated fruits </w:t>
            </w:r>
            <w:r w:rsidR="00250C1C" w:rsidRPr="00291224">
              <w:rPr>
                <w:rFonts w:cs="Arial"/>
                <w:sz w:val="20"/>
                <w:szCs w:val="20"/>
              </w:rPr>
              <w:t>and vegetables</w:t>
            </w:r>
            <w:r w:rsidR="00250C1C" w:rsidRPr="00291224">
              <w:rPr>
                <w:sz w:val="20"/>
                <w:szCs w:val="20"/>
              </w:rPr>
              <w:t xml:space="preserve"> </w:t>
            </w:r>
            <w:r w:rsidRPr="00291224">
              <w:rPr>
                <w:sz w:val="20"/>
                <w:szCs w:val="20"/>
              </w:rPr>
              <w:t>may cost more than non-irradiated ones. Additionally, a further additional cost that could be passed on to consumers could arise due to th</w:t>
            </w:r>
            <w:r w:rsidR="00E20004" w:rsidRPr="00291224">
              <w:rPr>
                <w:sz w:val="20"/>
                <w:szCs w:val="20"/>
              </w:rPr>
              <w:t xml:space="preserve">e </w:t>
            </w:r>
            <w:r w:rsidR="00786E53" w:rsidRPr="00291224">
              <w:rPr>
                <w:sz w:val="20"/>
                <w:szCs w:val="20"/>
              </w:rPr>
              <w:t xml:space="preserve">mandatory requirement </w:t>
            </w:r>
            <w:r w:rsidR="00A552BC" w:rsidRPr="00291224">
              <w:rPr>
                <w:sz w:val="20"/>
                <w:szCs w:val="20"/>
              </w:rPr>
              <w:t xml:space="preserve">for labelling </w:t>
            </w:r>
            <w:r w:rsidRPr="00291224">
              <w:rPr>
                <w:sz w:val="20"/>
                <w:szCs w:val="20"/>
              </w:rPr>
              <w:t xml:space="preserve">as required under clause 6 of Standard 1.5.3. This cost </w:t>
            </w:r>
            <w:r w:rsidR="002B37EC" w:rsidRPr="00291224">
              <w:rPr>
                <w:sz w:val="20"/>
                <w:szCs w:val="20"/>
              </w:rPr>
              <w:t xml:space="preserve">arises from </w:t>
            </w:r>
            <w:r w:rsidRPr="00291224">
              <w:rPr>
                <w:sz w:val="20"/>
                <w:szCs w:val="20"/>
              </w:rPr>
              <w:t>the requirement to provide product labels and the provision of signage at the point of sale for unpackaged produce.</w:t>
            </w:r>
          </w:p>
        </w:tc>
      </w:tr>
    </w:tbl>
    <w:p w:rsidR="0042531B" w:rsidRDefault="0042531B" w:rsidP="000D723C">
      <w:pPr>
        <w:widowControl/>
        <w:rPr>
          <w:i/>
          <w:sz w:val="20"/>
          <w:szCs w:val="20"/>
        </w:rPr>
      </w:pPr>
    </w:p>
    <w:p w:rsidR="00804D87" w:rsidRDefault="00804D87" w:rsidP="000D723C">
      <w:pPr>
        <w:widowControl/>
        <w:rPr>
          <w:b/>
          <w:i/>
          <w:szCs w:val="20"/>
        </w:rPr>
      </w:pPr>
      <w:r>
        <w:rPr>
          <w:b/>
          <w:i/>
          <w:szCs w:val="20"/>
        </w:rPr>
        <w:br w:type="page"/>
      </w:r>
    </w:p>
    <w:p w:rsidR="00972BD5" w:rsidRPr="00291224" w:rsidRDefault="00972BD5" w:rsidP="000D723C">
      <w:pPr>
        <w:widowControl/>
        <w:rPr>
          <w:rFonts w:cs="Arial"/>
          <w:b/>
          <w:szCs w:val="20"/>
        </w:rPr>
      </w:pPr>
      <w:r w:rsidRPr="00291224">
        <w:rPr>
          <w:b/>
          <w:szCs w:val="20"/>
        </w:rPr>
        <w:lastRenderedPageBreak/>
        <w:t xml:space="preserve">Option 2: </w:t>
      </w:r>
      <w:r w:rsidR="00265DFF" w:rsidRPr="00291224">
        <w:rPr>
          <w:b/>
          <w:szCs w:val="20"/>
        </w:rPr>
        <w:t xml:space="preserve"> </w:t>
      </w:r>
      <w:r w:rsidRPr="00291224">
        <w:rPr>
          <w:b/>
          <w:szCs w:val="20"/>
        </w:rPr>
        <w:t xml:space="preserve">Reject the </w:t>
      </w:r>
      <w:r w:rsidR="00291224" w:rsidRPr="00291224">
        <w:rPr>
          <w:b/>
          <w:szCs w:val="20"/>
        </w:rPr>
        <w:t>A</w:t>
      </w:r>
      <w:r w:rsidRPr="00291224">
        <w:rPr>
          <w:b/>
          <w:szCs w:val="20"/>
        </w:rPr>
        <w:t xml:space="preserve">pplication </w:t>
      </w:r>
    </w:p>
    <w:p w:rsidR="00972BD5" w:rsidRPr="0042531B" w:rsidRDefault="00972BD5" w:rsidP="00726C2F">
      <w:pPr>
        <w:rPr>
          <w:sz w:val="20"/>
          <w:szCs w:val="20"/>
        </w:rPr>
      </w:pPr>
    </w:p>
    <w:tbl>
      <w:tblPr>
        <w:tblW w:w="13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5"/>
        <w:gridCol w:w="5701"/>
        <w:gridCol w:w="6272"/>
      </w:tblGrid>
      <w:tr w:rsidR="00972BD5" w:rsidRPr="0042531B" w:rsidTr="00594AE7">
        <w:trPr>
          <w:cantSplit/>
          <w:tblHeader/>
        </w:trPr>
        <w:tc>
          <w:tcPr>
            <w:tcW w:w="1885" w:type="dxa"/>
            <w:tcBorders>
              <w:bottom w:val="single" w:sz="6" w:space="0" w:color="000000"/>
            </w:tcBorders>
            <w:shd w:val="clear" w:color="auto" w:fill="DAEEF3" w:themeFill="accent5" w:themeFillTint="33"/>
          </w:tcPr>
          <w:p w:rsidR="00972BD5" w:rsidRPr="00A977FC" w:rsidRDefault="00972BD5" w:rsidP="00D17DE0">
            <w:pPr>
              <w:rPr>
                <w:b/>
                <w:sz w:val="20"/>
                <w:szCs w:val="20"/>
              </w:rPr>
            </w:pPr>
            <w:r w:rsidRPr="00A977FC">
              <w:rPr>
                <w:b/>
                <w:sz w:val="20"/>
                <w:szCs w:val="20"/>
              </w:rPr>
              <w:t>AFFECTED PARTY</w:t>
            </w:r>
          </w:p>
        </w:tc>
        <w:tc>
          <w:tcPr>
            <w:tcW w:w="5701" w:type="dxa"/>
            <w:shd w:val="clear" w:color="auto" w:fill="DAEEF3" w:themeFill="accent5" w:themeFillTint="33"/>
          </w:tcPr>
          <w:p w:rsidR="00972BD5" w:rsidRPr="0042531B" w:rsidRDefault="00972BD5" w:rsidP="00D17DE0">
            <w:pPr>
              <w:rPr>
                <w:b/>
                <w:bCs/>
                <w:sz w:val="20"/>
                <w:szCs w:val="20"/>
              </w:rPr>
            </w:pPr>
            <w:r w:rsidRPr="0042531B">
              <w:rPr>
                <w:b/>
                <w:bCs/>
                <w:sz w:val="20"/>
                <w:szCs w:val="20"/>
              </w:rPr>
              <w:t>BENEFITS</w:t>
            </w:r>
          </w:p>
        </w:tc>
        <w:tc>
          <w:tcPr>
            <w:tcW w:w="6272" w:type="dxa"/>
            <w:shd w:val="clear" w:color="auto" w:fill="DAEEF3" w:themeFill="accent5" w:themeFillTint="33"/>
          </w:tcPr>
          <w:p w:rsidR="00972BD5" w:rsidRPr="0042531B" w:rsidRDefault="00972BD5" w:rsidP="00D17DE0">
            <w:pPr>
              <w:rPr>
                <w:b/>
                <w:bCs/>
                <w:sz w:val="20"/>
                <w:szCs w:val="20"/>
              </w:rPr>
            </w:pPr>
            <w:r w:rsidRPr="0042531B">
              <w:rPr>
                <w:b/>
                <w:bCs/>
                <w:sz w:val="20"/>
                <w:szCs w:val="20"/>
              </w:rPr>
              <w:t>COSTS</w:t>
            </w:r>
          </w:p>
        </w:tc>
      </w:tr>
      <w:tr w:rsidR="00972BD5" w:rsidRPr="0042531B" w:rsidTr="00594AE7">
        <w:tc>
          <w:tcPr>
            <w:tcW w:w="1885" w:type="dxa"/>
          </w:tcPr>
          <w:p w:rsidR="00972BD5" w:rsidRPr="0042531B" w:rsidRDefault="00972BD5" w:rsidP="00D17DE0">
            <w:pPr>
              <w:rPr>
                <w:b/>
                <w:bCs/>
                <w:sz w:val="20"/>
                <w:szCs w:val="20"/>
              </w:rPr>
            </w:pPr>
            <w:r w:rsidRPr="0042531B">
              <w:rPr>
                <w:b/>
                <w:bCs/>
                <w:sz w:val="20"/>
                <w:szCs w:val="20"/>
              </w:rPr>
              <w:t>Government</w:t>
            </w:r>
          </w:p>
          <w:p w:rsidR="00972BD5" w:rsidRPr="0042531B" w:rsidRDefault="00972BD5" w:rsidP="00D17DE0">
            <w:pPr>
              <w:rPr>
                <w:sz w:val="20"/>
                <w:szCs w:val="20"/>
              </w:rPr>
            </w:pPr>
          </w:p>
        </w:tc>
        <w:tc>
          <w:tcPr>
            <w:tcW w:w="5701" w:type="dxa"/>
          </w:tcPr>
          <w:p w:rsidR="00972BD5" w:rsidRPr="0042531B" w:rsidRDefault="005E605A" w:rsidP="00291224">
            <w:pPr>
              <w:ind w:left="113" w:hanging="113"/>
              <w:rPr>
                <w:sz w:val="20"/>
                <w:szCs w:val="20"/>
              </w:rPr>
            </w:pPr>
            <w:r w:rsidRPr="0042531B">
              <w:rPr>
                <w:sz w:val="20"/>
                <w:szCs w:val="20"/>
              </w:rPr>
              <w:t xml:space="preserve">There are no benefits to Governments in maintaining a prohibition. </w:t>
            </w:r>
          </w:p>
        </w:tc>
        <w:tc>
          <w:tcPr>
            <w:tcW w:w="6272" w:type="dxa"/>
          </w:tcPr>
          <w:p w:rsidR="00972BD5" w:rsidRDefault="005E605A" w:rsidP="00291224">
            <w:pPr>
              <w:ind w:left="113" w:hanging="113"/>
              <w:rPr>
                <w:rFonts w:cs="Arial"/>
                <w:sz w:val="20"/>
                <w:szCs w:val="20"/>
              </w:rPr>
            </w:pPr>
            <w:r w:rsidRPr="0042531B">
              <w:rPr>
                <w:rFonts w:cs="Arial"/>
                <w:sz w:val="20"/>
                <w:szCs w:val="20"/>
              </w:rPr>
              <w:t>No costs were identified, although lack of approval may be regarded as unnecessarily trade restrictive.</w:t>
            </w:r>
          </w:p>
          <w:p w:rsidR="00265DFF" w:rsidRPr="0042531B" w:rsidRDefault="00265DFF" w:rsidP="00291224">
            <w:pPr>
              <w:ind w:left="113" w:hanging="113"/>
              <w:rPr>
                <w:rFonts w:cs="Arial"/>
                <w:sz w:val="20"/>
                <w:szCs w:val="20"/>
              </w:rPr>
            </w:pPr>
          </w:p>
        </w:tc>
      </w:tr>
      <w:tr w:rsidR="00972BD5" w:rsidRPr="0042531B" w:rsidTr="00594AE7">
        <w:trPr>
          <w:cantSplit/>
        </w:trPr>
        <w:tc>
          <w:tcPr>
            <w:tcW w:w="1885" w:type="dxa"/>
          </w:tcPr>
          <w:p w:rsidR="00972BD5" w:rsidRPr="0042531B" w:rsidRDefault="00972BD5" w:rsidP="00D17DE0">
            <w:pPr>
              <w:rPr>
                <w:rFonts w:cs="Arial"/>
                <w:b/>
                <w:bCs/>
                <w:sz w:val="20"/>
                <w:szCs w:val="20"/>
              </w:rPr>
            </w:pPr>
            <w:r w:rsidRPr="0042531B">
              <w:rPr>
                <w:b/>
                <w:bCs/>
                <w:sz w:val="20"/>
                <w:szCs w:val="20"/>
              </w:rPr>
              <w:t>Industry</w:t>
            </w:r>
          </w:p>
          <w:p w:rsidR="00972BD5" w:rsidRPr="0042531B" w:rsidRDefault="00972BD5" w:rsidP="00D17DE0">
            <w:pPr>
              <w:rPr>
                <w:sz w:val="20"/>
                <w:szCs w:val="20"/>
              </w:rPr>
            </w:pPr>
          </w:p>
        </w:tc>
        <w:tc>
          <w:tcPr>
            <w:tcW w:w="5701" w:type="dxa"/>
          </w:tcPr>
          <w:p w:rsidR="00972BD5" w:rsidRPr="0042531B" w:rsidRDefault="005E605A" w:rsidP="00291224">
            <w:pPr>
              <w:ind w:left="113" w:hanging="113"/>
              <w:rPr>
                <w:rFonts w:cs="Arial"/>
                <w:sz w:val="20"/>
                <w:szCs w:val="20"/>
              </w:rPr>
            </w:pPr>
            <w:r w:rsidRPr="0042531B">
              <w:rPr>
                <w:rFonts w:cs="Arial"/>
                <w:sz w:val="20"/>
                <w:szCs w:val="20"/>
              </w:rPr>
              <w:t>No benefits to industry were identified.</w:t>
            </w:r>
          </w:p>
          <w:p w:rsidR="00972BD5" w:rsidRPr="0042531B" w:rsidRDefault="00972BD5" w:rsidP="00291224">
            <w:pPr>
              <w:ind w:left="113" w:hanging="113"/>
              <w:rPr>
                <w:rFonts w:cs="Arial"/>
                <w:sz w:val="20"/>
                <w:szCs w:val="20"/>
              </w:rPr>
            </w:pPr>
          </w:p>
          <w:p w:rsidR="00972BD5" w:rsidRPr="0042531B" w:rsidRDefault="00972BD5" w:rsidP="00291224">
            <w:pPr>
              <w:ind w:left="113" w:hanging="113"/>
              <w:rPr>
                <w:rFonts w:cs="Arial"/>
                <w:sz w:val="20"/>
                <w:szCs w:val="20"/>
              </w:rPr>
            </w:pPr>
          </w:p>
          <w:p w:rsidR="00972BD5" w:rsidRPr="0042531B" w:rsidRDefault="00972BD5" w:rsidP="00291224">
            <w:pPr>
              <w:ind w:left="113" w:hanging="113"/>
              <w:rPr>
                <w:rFonts w:cs="Arial"/>
                <w:sz w:val="20"/>
                <w:szCs w:val="20"/>
              </w:rPr>
            </w:pPr>
          </w:p>
          <w:p w:rsidR="00972BD5" w:rsidRPr="0042531B" w:rsidRDefault="00972BD5" w:rsidP="00291224">
            <w:pPr>
              <w:ind w:left="113" w:hanging="113"/>
              <w:rPr>
                <w:rFonts w:cs="Arial"/>
                <w:sz w:val="20"/>
                <w:szCs w:val="20"/>
              </w:rPr>
            </w:pPr>
          </w:p>
          <w:p w:rsidR="00972BD5" w:rsidRPr="0042531B" w:rsidRDefault="00972BD5" w:rsidP="00291224">
            <w:pPr>
              <w:ind w:left="113" w:hanging="113"/>
              <w:rPr>
                <w:rFonts w:cs="Arial"/>
                <w:sz w:val="20"/>
                <w:szCs w:val="20"/>
              </w:rPr>
            </w:pPr>
          </w:p>
        </w:tc>
        <w:tc>
          <w:tcPr>
            <w:tcW w:w="6272" w:type="dxa"/>
          </w:tcPr>
          <w:p w:rsidR="005E605A" w:rsidRPr="0042531B" w:rsidRDefault="00A552BC" w:rsidP="00291224">
            <w:pPr>
              <w:ind w:left="113" w:hanging="113"/>
              <w:rPr>
                <w:rFonts w:cs="Arial"/>
                <w:sz w:val="20"/>
                <w:szCs w:val="20"/>
              </w:rPr>
            </w:pPr>
            <w:r w:rsidRPr="0042531B">
              <w:rPr>
                <w:rFonts w:cs="Arial"/>
                <w:sz w:val="20"/>
                <w:szCs w:val="20"/>
              </w:rPr>
              <w:t>L</w:t>
            </w:r>
            <w:r w:rsidR="005E605A" w:rsidRPr="0042531B">
              <w:rPr>
                <w:rFonts w:cs="Arial"/>
                <w:sz w:val="20"/>
                <w:szCs w:val="20"/>
              </w:rPr>
              <w:t>oss of trade opportunities and access to markets where current disinfestation methods are not accepted</w:t>
            </w:r>
            <w:r w:rsidRPr="0042531B">
              <w:rPr>
                <w:rFonts w:cs="Arial"/>
                <w:sz w:val="20"/>
                <w:szCs w:val="20"/>
              </w:rPr>
              <w:t>.</w:t>
            </w:r>
          </w:p>
          <w:p w:rsidR="00A552BC" w:rsidRDefault="00A552BC" w:rsidP="00291224">
            <w:pPr>
              <w:ind w:left="113" w:hanging="113"/>
              <w:rPr>
                <w:rFonts w:cs="Arial"/>
                <w:sz w:val="20"/>
                <w:szCs w:val="20"/>
              </w:rPr>
            </w:pPr>
          </w:p>
          <w:p w:rsidR="00265DFF" w:rsidRPr="0042531B" w:rsidRDefault="00265DFF" w:rsidP="00291224">
            <w:pPr>
              <w:ind w:left="113" w:hanging="113"/>
              <w:rPr>
                <w:rFonts w:cs="Arial"/>
                <w:sz w:val="20"/>
                <w:szCs w:val="20"/>
              </w:rPr>
            </w:pPr>
          </w:p>
          <w:p w:rsidR="00972BD5" w:rsidRDefault="00A552BC" w:rsidP="00291224">
            <w:pPr>
              <w:ind w:left="113" w:hanging="113"/>
              <w:rPr>
                <w:rFonts w:cs="Arial"/>
                <w:sz w:val="20"/>
                <w:szCs w:val="20"/>
              </w:rPr>
            </w:pPr>
            <w:r w:rsidRPr="0042531B">
              <w:rPr>
                <w:rFonts w:cs="Arial"/>
                <w:sz w:val="20"/>
                <w:szCs w:val="20"/>
              </w:rPr>
              <w:t>C</w:t>
            </w:r>
            <w:r w:rsidR="005E605A" w:rsidRPr="0042531B">
              <w:rPr>
                <w:rFonts w:cs="Arial"/>
                <w:sz w:val="20"/>
                <w:szCs w:val="20"/>
              </w:rPr>
              <w:t>osts in research and development incurred in an attempt to identify alternative treatments as existing chemical or other treatments are phased out.</w:t>
            </w:r>
          </w:p>
          <w:p w:rsidR="00265DFF" w:rsidRPr="0042531B" w:rsidRDefault="00265DFF" w:rsidP="00291224">
            <w:pPr>
              <w:ind w:left="113" w:hanging="113"/>
              <w:rPr>
                <w:rFonts w:cs="Arial"/>
                <w:sz w:val="20"/>
                <w:szCs w:val="20"/>
              </w:rPr>
            </w:pPr>
          </w:p>
        </w:tc>
      </w:tr>
      <w:tr w:rsidR="00972BD5" w:rsidRPr="0042531B" w:rsidTr="00594AE7">
        <w:tc>
          <w:tcPr>
            <w:tcW w:w="1885" w:type="dxa"/>
          </w:tcPr>
          <w:p w:rsidR="00972BD5" w:rsidRPr="0042531B" w:rsidRDefault="00972BD5" w:rsidP="00D17DE0">
            <w:pPr>
              <w:rPr>
                <w:rFonts w:cs="Arial"/>
                <w:b/>
                <w:bCs/>
                <w:sz w:val="20"/>
                <w:szCs w:val="20"/>
              </w:rPr>
            </w:pPr>
            <w:r w:rsidRPr="0042531B">
              <w:rPr>
                <w:b/>
                <w:bCs/>
                <w:sz w:val="20"/>
                <w:szCs w:val="20"/>
              </w:rPr>
              <w:t>Consumers</w:t>
            </w:r>
          </w:p>
        </w:tc>
        <w:tc>
          <w:tcPr>
            <w:tcW w:w="5701" w:type="dxa"/>
          </w:tcPr>
          <w:p w:rsidR="00265DFF" w:rsidRPr="0042531B" w:rsidRDefault="005E605A" w:rsidP="00291224">
            <w:pPr>
              <w:ind w:left="113" w:hanging="113"/>
              <w:rPr>
                <w:sz w:val="20"/>
                <w:szCs w:val="20"/>
              </w:rPr>
            </w:pPr>
            <w:r w:rsidRPr="0042531B">
              <w:rPr>
                <w:sz w:val="20"/>
                <w:szCs w:val="20"/>
              </w:rPr>
              <w:t>There could be a benefit to consumers who prefer not to consume irradiated foods, due to a belief that such foods are potentially unsafe and/or nutritionally inadequate or that there is no technological justification to irradiate foods. However, irradiated food is required to be labelled, so consumers wishing to avoid it will be able to do so.</w:t>
            </w:r>
          </w:p>
        </w:tc>
        <w:tc>
          <w:tcPr>
            <w:tcW w:w="6272" w:type="dxa"/>
          </w:tcPr>
          <w:p w:rsidR="00972BD5" w:rsidRDefault="005E605A" w:rsidP="00291224">
            <w:pPr>
              <w:ind w:left="113" w:hanging="113"/>
              <w:rPr>
                <w:sz w:val="20"/>
                <w:szCs w:val="20"/>
              </w:rPr>
            </w:pPr>
            <w:r w:rsidRPr="0042531B">
              <w:rPr>
                <w:sz w:val="20"/>
                <w:szCs w:val="20"/>
              </w:rPr>
              <w:t>A potential cost to consumers was identified as the possible limitation of the s</w:t>
            </w:r>
            <w:r w:rsidR="00A552BC" w:rsidRPr="0042531B">
              <w:rPr>
                <w:sz w:val="20"/>
                <w:szCs w:val="20"/>
              </w:rPr>
              <w:t xml:space="preserve">upply of some fruits </w:t>
            </w:r>
            <w:r w:rsidR="00250C1C">
              <w:rPr>
                <w:rFonts w:cs="Arial"/>
              </w:rPr>
              <w:t>and vegetables</w:t>
            </w:r>
            <w:r w:rsidR="00250C1C" w:rsidRPr="0042531B">
              <w:rPr>
                <w:sz w:val="20"/>
                <w:szCs w:val="20"/>
              </w:rPr>
              <w:t xml:space="preserve"> </w:t>
            </w:r>
            <w:r w:rsidRPr="0042531B">
              <w:rPr>
                <w:sz w:val="20"/>
                <w:szCs w:val="20"/>
              </w:rPr>
              <w:t>due to the phase out of chemicals that normally reduce fruit fly disinfestation. If there was not an efficacious alternative treatment, such as irradiation, there is a strong possibili</w:t>
            </w:r>
            <w:r w:rsidR="0050699D" w:rsidRPr="0042531B">
              <w:rPr>
                <w:sz w:val="20"/>
                <w:szCs w:val="20"/>
              </w:rPr>
              <w:t xml:space="preserve">ty that the fruit </w:t>
            </w:r>
            <w:r w:rsidR="00250C1C">
              <w:rPr>
                <w:rFonts w:cs="Arial"/>
              </w:rPr>
              <w:t>and vegetable</w:t>
            </w:r>
            <w:r w:rsidR="00250C1C" w:rsidRPr="0042531B">
              <w:rPr>
                <w:sz w:val="20"/>
                <w:szCs w:val="20"/>
              </w:rPr>
              <w:t xml:space="preserve"> </w:t>
            </w:r>
            <w:r w:rsidRPr="0042531B">
              <w:rPr>
                <w:sz w:val="20"/>
                <w:szCs w:val="20"/>
              </w:rPr>
              <w:t>supplies will decrease and prices may increase</w:t>
            </w:r>
            <w:r w:rsidR="004B2891">
              <w:rPr>
                <w:sz w:val="20"/>
                <w:szCs w:val="20"/>
              </w:rPr>
              <w:t>.</w:t>
            </w:r>
          </w:p>
          <w:p w:rsidR="00291224" w:rsidRPr="0042531B" w:rsidRDefault="00291224" w:rsidP="00291224">
            <w:pPr>
              <w:ind w:left="113" w:hanging="113"/>
              <w:rPr>
                <w:sz w:val="20"/>
                <w:szCs w:val="20"/>
              </w:rPr>
            </w:pPr>
          </w:p>
        </w:tc>
      </w:tr>
    </w:tbl>
    <w:p w:rsidR="008A3B61" w:rsidRDefault="008A3B61" w:rsidP="00726C2F">
      <w:pPr>
        <w:sectPr w:rsidR="008A3B61" w:rsidSect="00A977FC">
          <w:pgSz w:w="16838" w:h="11906" w:orient="landscape"/>
          <w:pgMar w:top="1418" w:right="1418" w:bottom="1418" w:left="1418" w:header="709" w:footer="709" w:gutter="0"/>
          <w:cols w:space="708"/>
          <w:docGrid w:linePitch="360"/>
        </w:sectPr>
      </w:pPr>
    </w:p>
    <w:p w:rsidR="00726C2F" w:rsidRDefault="00265DFF" w:rsidP="00726C2F">
      <w:r>
        <w:lastRenderedPageBreak/>
        <w:t>FSANZ</w:t>
      </w:r>
      <w:r w:rsidR="00893784">
        <w:t xml:space="preserve"> concluded that t</w:t>
      </w:r>
      <w:r w:rsidR="00726C2F" w:rsidRPr="0034715E">
        <w:t xml:space="preserve">he </w:t>
      </w:r>
      <w:r w:rsidR="00851A60" w:rsidRPr="0034715E">
        <w:t>direct and indirect benefits</w:t>
      </w:r>
      <w:r w:rsidR="00726C2F" w:rsidRPr="0034715E">
        <w:t xml:space="preserve"> that would arise from a food regulatory measure developed or varied as a result of the </w:t>
      </w:r>
      <w:r w:rsidR="00EF275D" w:rsidRPr="0034715E">
        <w:t>application outweigh</w:t>
      </w:r>
      <w:r w:rsidR="00726C2F" w:rsidRPr="0034715E">
        <w:t xml:space="preserve"> the </w:t>
      </w:r>
      <w:r w:rsidR="00851A60" w:rsidRPr="0034715E">
        <w:t>costs</w:t>
      </w:r>
      <w:r w:rsidR="00726C2F" w:rsidRPr="0034715E">
        <w:t xml:space="preserve"> to the community, Government or industry that would arise from the development or variation of the food regulatory measu</w:t>
      </w:r>
      <w:r w:rsidR="00726C2F">
        <w:t>re.</w:t>
      </w:r>
    </w:p>
    <w:p w:rsidR="00726C2F" w:rsidRDefault="00DB5DB2" w:rsidP="00726C2F">
      <w:pPr>
        <w:pStyle w:val="Heading4"/>
      </w:pPr>
      <w:r>
        <w:t>2.4</w:t>
      </w:r>
      <w:r w:rsidR="00726C2F">
        <w:t>.1.2</w:t>
      </w:r>
      <w:r w:rsidR="00726C2F">
        <w:tab/>
        <w:t>Other measures</w:t>
      </w:r>
    </w:p>
    <w:p w:rsidR="00726C2F" w:rsidRPr="0034715E" w:rsidRDefault="00726C2F" w:rsidP="00726C2F">
      <w:r w:rsidRPr="0034715E">
        <w:t xml:space="preserve">There are no other measures (whether available to FSANZ or not) that would be more </w:t>
      </w:r>
      <w:r w:rsidR="00F422DD">
        <w:br/>
      </w:r>
      <w:r w:rsidRPr="0034715E">
        <w:t>cost-effective than a food regulatory measure developed or varied as a result of the Application</w:t>
      </w:r>
      <w:r w:rsidR="00AB0AA9" w:rsidRPr="0034715E">
        <w:t xml:space="preserve">. </w:t>
      </w:r>
    </w:p>
    <w:p w:rsidR="00726C2F" w:rsidRPr="0034715E" w:rsidRDefault="00DB5DB2" w:rsidP="008B0075">
      <w:pPr>
        <w:pStyle w:val="Heading4"/>
      </w:pPr>
      <w:r>
        <w:t>2.4</w:t>
      </w:r>
      <w:r w:rsidR="008B0075" w:rsidRPr="0034715E">
        <w:t>.1.3</w:t>
      </w:r>
      <w:r w:rsidR="008B0075" w:rsidRPr="0034715E">
        <w:tab/>
        <w:t>A</w:t>
      </w:r>
      <w:r w:rsidR="00726C2F" w:rsidRPr="0034715E">
        <w:t>ny relevant New Zealand standards</w:t>
      </w:r>
    </w:p>
    <w:p w:rsidR="008B0075" w:rsidRDefault="006E6CA2" w:rsidP="008B0075">
      <w:pPr>
        <w:rPr>
          <w:lang w:bidi="ar-SA"/>
        </w:rPr>
      </w:pPr>
      <w:r>
        <w:rPr>
          <w:lang w:bidi="ar-SA"/>
        </w:rPr>
        <w:t xml:space="preserve">Standard 1.5.3 is a Joint standard. </w:t>
      </w:r>
    </w:p>
    <w:p w:rsidR="00726C2F" w:rsidRPr="00914030" w:rsidRDefault="00DB5DB2" w:rsidP="00BE3818">
      <w:pPr>
        <w:pStyle w:val="Heading4"/>
      </w:pPr>
      <w:r>
        <w:t>2.4</w:t>
      </w:r>
      <w:r w:rsidR="00BE3818">
        <w:t>.1.4</w:t>
      </w:r>
      <w:r w:rsidR="00BE3818">
        <w:tab/>
      </w:r>
      <w:r w:rsidR="0027513D">
        <w:t>A</w:t>
      </w:r>
      <w:r w:rsidR="00BE3818">
        <w:t>ny other relevant matters</w:t>
      </w:r>
    </w:p>
    <w:p w:rsidR="00BE3818" w:rsidRDefault="00896DE2" w:rsidP="00BE3818">
      <w:pPr>
        <w:rPr>
          <w:lang w:bidi="ar-SA"/>
        </w:rPr>
      </w:pPr>
      <w:r>
        <w:rPr>
          <w:lang w:bidi="ar-SA"/>
        </w:rPr>
        <w:t>Other</w:t>
      </w:r>
      <w:r w:rsidR="00BE3818">
        <w:rPr>
          <w:lang w:bidi="ar-SA"/>
        </w:rPr>
        <w:t xml:space="preserve"> relevant matters</w:t>
      </w:r>
      <w:r>
        <w:rPr>
          <w:lang w:bidi="ar-SA"/>
        </w:rPr>
        <w:t xml:space="preserve"> are considered below</w:t>
      </w:r>
      <w:r w:rsidR="00BE3818">
        <w:rPr>
          <w:lang w:bidi="ar-SA"/>
        </w:rPr>
        <w:t>.</w:t>
      </w:r>
    </w:p>
    <w:p w:rsidR="00022DBC" w:rsidRPr="00914030" w:rsidRDefault="00DB5DB2" w:rsidP="00022DBC">
      <w:pPr>
        <w:pStyle w:val="Heading3"/>
      </w:pPr>
      <w:bookmarkStart w:id="62" w:name="_Toc396117789"/>
      <w:bookmarkStart w:id="63" w:name="_Toc300761897"/>
      <w:bookmarkStart w:id="64" w:name="_Toc300933440"/>
      <w:r>
        <w:t>2.4</w:t>
      </w:r>
      <w:r w:rsidR="00BE3818">
        <w:t>.2</w:t>
      </w:r>
      <w:r w:rsidR="00022DBC" w:rsidRPr="00914030">
        <w:tab/>
      </w:r>
      <w:r w:rsidR="00BE3818">
        <w:t>Subsection 18(1)</w:t>
      </w:r>
      <w:bookmarkEnd w:id="62"/>
      <w:r w:rsidR="00BE3818">
        <w:t xml:space="preserve"> </w:t>
      </w:r>
      <w:bookmarkEnd w:id="63"/>
      <w:bookmarkEnd w:id="64"/>
    </w:p>
    <w:p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rsidR="00022DBC" w:rsidRPr="00914030" w:rsidRDefault="00DB5DB2" w:rsidP="00022DBC">
      <w:pPr>
        <w:pStyle w:val="Heading4"/>
        <w:rPr>
          <w:lang w:eastAsia="en-AU"/>
        </w:rPr>
      </w:pPr>
      <w:bookmarkStart w:id="65" w:name="_Toc297029117"/>
      <w:bookmarkStart w:id="66" w:name="_Toc300761898"/>
      <w:bookmarkStart w:id="67" w:name="_Toc300933441"/>
      <w:r>
        <w:rPr>
          <w:lang w:eastAsia="en-AU"/>
        </w:rPr>
        <w:t>2.4</w:t>
      </w:r>
      <w:r w:rsidR="00BE3818">
        <w:rPr>
          <w:lang w:eastAsia="en-AU"/>
        </w:rPr>
        <w:t>.2</w:t>
      </w:r>
      <w:r w:rsidR="00022DBC" w:rsidRPr="00914030">
        <w:rPr>
          <w:lang w:eastAsia="en-AU"/>
        </w:rPr>
        <w:t>.1</w:t>
      </w:r>
      <w:r w:rsidR="00022DBC" w:rsidRPr="00914030">
        <w:rPr>
          <w:lang w:eastAsia="en-AU"/>
        </w:rPr>
        <w:tab/>
        <w:t>Protection of public health and safety</w:t>
      </w:r>
      <w:bookmarkEnd w:id="65"/>
      <w:bookmarkEnd w:id="66"/>
      <w:bookmarkEnd w:id="67"/>
    </w:p>
    <w:p w:rsidR="00AB0AA9" w:rsidRPr="00AB0AA9" w:rsidRDefault="00AB0AA9" w:rsidP="00AB0AA9">
      <w:pPr>
        <w:rPr>
          <w:rFonts w:cs="Arial"/>
        </w:rPr>
      </w:pPr>
      <w:bookmarkStart w:id="68" w:name="_Toc300761899"/>
      <w:bookmarkStart w:id="69" w:name="_Toc300933442"/>
      <w:r w:rsidRPr="00AB0AA9">
        <w:rPr>
          <w:rFonts w:cs="Arial"/>
        </w:rPr>
        <w:t>FSANZ concludes that approval of irrad</w:t>
      </w:r>
      <w:r>
        <w:rPr>
          <w:rFonts w:cs="Arial"/>
        </w:rPr>
        <w:t xml:space="preserve">iation </w:t>
      </w:r>
      <w:r w:rsidR="00701FD4">
        <w:rPr>
          <w:rFonts w:cs="Arial"/>
        </w:rPr>
        <w:t xml:space="preserve">of </w:t>
      </w:r>
      <w:r w:rsidR="00E54195">
        <w:rPr>
          <w:rFonts w:cs="Arial"/>
        </w:rPr>
        <w:t xml:space="preserve">fruits </w:t>
      </w:r>
      <w:r w:rsidR="00250C1C">
        <w:rPr>
          <w:rFonts w:cs="Arial"/>
        </w:rPr>
        <w:t>and vegetables</w:t>
      </w:r>
      <w:r w:rsidR="00250C1C" w:rsidRPr="00AB0AA9">
        <w:rPr>
          <w:rFonts w:cs="Arial"/>
        </w:rPr>
        <w:t xml:space="preserve"> </w:t>
      </w:r>
      <w:r w:rsidRPr="00AB0AA9">
        <w:rPr>
          <w:rFonts w:cs="Arial"/>
        </w:rPr>
        <w:t xml:space="preserve">at a minimum dose of 150 Gy and a maximum of 1 kGy does </w:t>
      </w:r>
      <w:r w:rsidRPr="00AB0AA9">
        <w:t xml:space="preserve">not pose a significant human health risk for </w:t>
      </w:r>
      <w:r w:rsidRPr="00AB0AA9">
        <w:rPr>
          <w:rFonts w:cs="Arial"/>
        </w:rPr>
        <w:t>Australian or New Zealand consumers.</w:t>
      </w:r>
    </w:p>
    <w:p w:rsidR="00022DBC" w:rsidRPr="00914030" w:rsidRDefault="00DB5DB2"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8"/>
      <w:bookmarkEnd w:id="69"/>
    </w:p>
    <w:p w:rsidR="00AB0AA9" w:rsidRPr="00AB0AA9" w:rsidRDefault="00AB0AA9" w:rsidP="00AB0AA9">
      <w:pPr>
        <w:rPr>
          <w:rFonts w:cs="Arial"/>
        </w:rPr>
      </w:pPr>
      <w:bookmarkStart w:id="70" w:name="_Toc300761900"/>
      <w:bookmarkStart w:id="71" w:name="_Toc300933443"/>
      <w:r w:rsidRPr="00AB0AA9">
        <w:t xml:space="preserve">The mandatory requirements under Standard 1.5.3 to label irradiated foods will provide adequate information for consumers to make informed purchase decisions. Based on the risk assessment findings, no additional mandatory labelling requirements are proposed. </w:t>
      </w:r>
    </w:p>
    <w:p w:rsidR="00022DBC" w:rsidRPr="00914030" w:rsidRDefault="00DB5DB2"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70"/>
      <w:bookmarkEnd w:id="71"/>
    </w:p>
    <w:p w:rsidR="00AB0AA9" w:rsidRPr="00AB0AA9" w:rsidRDefault="00AB0AA9" w:rsidP="00AB0AA9">
      <w:bookmarkStart w:id="72" w:name="_Toc300761901"/>
      <w:bookmarkStart w:id="73" w:name="_Toc300933444"/>
      <w:r w:rsidRPr="00AB0AA9">
        <w:t xml:space="preserve">No issues identified. </w:t>
      </w:r>
    </w:p>
    <w:p w:rsidR="00022DBC" w:rsidRPr="00914030" w:rsidRDefault="00DB5DB2" w:rsidP="00B51E03">
      <w:pPr>
        <w:pStyle w:val="Heading3"/>
      </w:pPr>
      <w:bookmarkStart w:id="74" w:name="_Toc396117790"/>
      <w:r>
        <w:t>2.4</w:t>
      </w:r>
      <w:r w:rsidR="00B51E03">
        <w:t>.3</w:t>
      </w:r>
      <w:r w:rsidR="00022DBC" w:rsidRPr="00914030">
        <w:tab/>
        <w:t xml:space="preserve">Subsection 18(2) </w:t>
      </w:r>
      <w:bookmarkEnd w:id="72"/>
      <w:bookmarkEnd w:id="73"/>
      <w:r w:rsidR="00022DBC" w:rsidRPr="00914030">
        <w:t>considerations</w:t>
      </w:r>
      <w:bookmarkEnd w:id="74"/>
    </w:p>
    <w:p w:rsidR="00022DBC" w:rsidRPr="00914030" w:rsidRDefault="00022DBC" w:rsidP="00022DBC">
      <w:pPr>
        <w:rPr>
          <w:rFonts w:cs="Arial"/>
        </w:rPr>
      </w:pPr>
      <w:r w:rsidRPr="00914030">
        <w:rPr>
          <w:rFonts w:cs="Arial"/>
        </w:rPr>
        <w:t>FSANZ has also had regard to:</w:t>
      </w:r>
    </w:p>
    <w:p w:rsidR="00022DBC" w:rsidRPr="00914030" w:rsidRDefault="00022DBC" w:rsidP="00022DBC">
      <w:pPr>
        <w:rPr>
          <w:rFonts w:cs="Arial"/>
        </w:rPr>
      </w:pPr>
    </w:p>
    <w:p w:rsidR="00022DBC" w:rsidRPr="008828D9" w:rsidRDefault="00022DBC" w:rsidP="00022DBC">
      <w:pPr>
        <w:pStyle w:val="FSBullet1"/>
        <w:rPr>
          <w:b/>
        </w:rPr>
      </w:pPr>
      <w:r w:rsidRPr="008828D9">
        <w:rPr>
          <w:b/>
        </w:rPr>
        <w:t>the need for standards to be based on risk analysis using the best available scientific evidence</w:t>
      </w:r>
    </w:p>
    <w:p w:rsidR="008828D9" w:rsidRDefault="008828D9" w:rsidP="008828D9">
      <w:pPr>
        <w:rPr>
          <w:lang w:bidi="ar-SA"/>
        </w:rPr>
      </w:pPr>
    </w:p>
    <w:p w:rsidR="00AB0AA9" w:rsidRPr="00A011A2" w:rsidRDefault="00AB0AA9" w:rsidP="00AB0AA9">
      <w:r w:rsidRPr="00A011A2">
        <w:t xml:space="preserve">FSANZ has previously assessed and characterised the risk from consumption of irradiated foods. Collectively, these risk assessments have considered all available information (national and international), including animal toxicity and nutrition data, relevant to the safety </w:t>
      </w:r>
      <w:r w:rsidR="008B7E32">
        <w:t xml:space="preserve">and nutritional adequacy </w:t>
      </w:r>
      <w:r w:rsidRPr="00A011A2">
        <w:t xml:space="preserve">of irradiated foods. </w:t>
      </w:r>
    </w:p>
    <w:p w:rsidR="00AB0AA9" w:rsidRDefault="00AB0AA9" w:rsidP="00AB0AA9"/>
    <w:p w:rsidR="00291224" w:rsidRDefault="00AB0AA9" w:rsidP="00AB0AA9">
      <w:r w:rsidRPr="00A011A2">
        <w:t xml:space="preserve">FSANZ evaluated the scientific literature published since previous assessments and concluded that there were no new publications indicating a potential for safety </w:t>
      </w:r>
      <w:r w:rsidR="00042DC1">
        <w:t xml:space="preserve">or nutritional </w:t>
      </w:r>
      <w:r w:rsidRPr="00A011A2">
        <w:t xml:space="preserve">concerns in any population group consuming irradiated foods. </w:t>
      </w:r>
      <w:r w:rsidR="00291224">
        <w:br w:type="page"/>
      </w:r>
    </w:p>
    <w:p w:rsidR="00022DBC" w:rsidRDefault="00022DBC" w:rsidP="00022DBC">
      <w:pPr>
        <w:pStyle w:val="FSBullet1"/>
        <w:rPr>
          <w:b/>
        </w:rPr>
      </w:pPr>
      <w:r w:rsidRPr="008828D9">
        <w:rPr>
          <w:b/>
        </w:rPr>
        <w:lastRenderedPageBreak/>
        <w:t>the promotion of consistency between domestic and international food standards</w:t>
      </w:r>
    </w:p>
    <w:p w:rsidR="00AB0AA9" w:rsidRDefault="00AB0AA9" w:rsidP="00AB0AA9">
      <w:pPr>
        <w:rPr>
          <w:lang w:bidi="ar-SA"/>
        </w:rPr>
      </w:pPr>
    </w:p>
    <w:p w:rsidR="00AB0AA9" w:rsidRPr="00AB0AA9" w:rsidRDefault="00AB0AA9" w:rsidP="00AB0AA9">
      <w:pPr>
        <w:rPr>
          <w:lang w:bidi="ar-SA"/>
        </w:rPr>
      </w:pPr>
      <w:r w:rsidRPr="00AB0AA9">
        <w:rPr>
          <w:lang w:bidi="ar-SA"/>
        </w:rPr>
        <w:t>Approval to i</w:t>
      </w:r>
      <w:r>
        <w:rPr>
          <w:lang w:bidi="ar-SA"/>
        </w:rPr>
        <w:t xml:space="preserve">rradiate fruits </w:t>
      </w:r>
      <w:r w:rsidR="00250C1C">
        <w:rPr>
          <w:rFonts w:cs="Arial"/>
        </w:rPr>
        <w:t>and vegetables</w:t>
      </w:r>
      <w:r w:rsidR="00250C1C" w:rsidRPr="00AB0AA9">
        <w:rPr>
          <w:lang w:bidi="ar-SA"/>
        </w:rPr>
        <w:t xml:space="preserve"> </w:t>
      </w:r>
      <w:r w:rsidRPr="00AB0AA9">
        <w:rPr>
          <w:lang w:bidi="ar-SA"/>
        </w:rPr>
        <w:t xml:space="preserve">will promote consistency with other countries that approve the irradiation of fruits and vegetables for a phytosanitary purpose. </w:t>
      </w:r>
    </w:p>
    <w:p w:rsidR="00AB0AA9" w:rsidRDefault="00AB0AA9" w:rsidP="00AB0AA9">
      <w:pPr>
        <w:rPr>
          <w:lang w:bidi="ar-SA"/>
        </w:rPr>
      </w:pPr>
    </w:p>
    <w:p w:rsidR="00AB0AA9" w:rsidRPr="00AB0AA9" w:rsidRDefault="00AB0AA9" w:rsidP="00AB0AA9">
      <w:pPr>
        <w:rPr>
          <w:lang w:bidi="ar-SA"/>
        </w:rPr>
      </w:pPr>
      <w:r w:rsidRPr="00AB0AA9">
        <w:t xml:space="preserve">It also aligns with the Codex General Standard for Irradiated Foods which sets a maximum absorbed dose of 10 kGy. No specific foods are mentioned, although the </w:t>
      </w:r>
      <w:r w:rsidR="00265DFF">
        <w:t>S</w:t>
      </w:r>
      <w:r w:rsidRPr="00AB0AA9">
        <w:t xml:space="preserve">tandard states that: </w:t>
      </w:r>
    </w:p>
    <w:p w:rsidR="00AB0AA9" w:rsidRPr="00AB0AA9" w:rsidRDefault="00AB0AA9" w:rsidP="00AB0AA9"/>
    <w:p w:rsidR="00AB0AA9" w:rsidRPr="00AB0AA9" w:rsidRDefault="00AB0AA9" w:rsidP="00AB0AA9">
      <w:pPr>
        <w:ind w:left="567"/>
        <w:rPr>
          <w:i/>
          <w:sz w:val="20"/>
          <w:szCs w:val="20"/>
        </w:rPr>
      </w:pPr>
      <w:r w:rsidRPr="00AB0AA9">
        <w:rPr>
          <w:i/>
          <w:sz w:val="20"/>
          <w:szCs w:val="20"/>
        </w:rPr>
        <w:t>The irradiation of food is justified only where it fulfils a technological need or where it serves a food hygiene purpose and should not be used as a substitute for good manufacturing practices.</w:t>
      </w:r>
    </w:p>
    <w:p w:rsidR="00AB0AA9" w:rsidRDefault="00AB0AA9" w:rsidP="00AB0AA9">
      <w:pPr>
        <w:rPr>
          <w:lang w:bidi="ar-SA"/>
        </w:rPr>
      </w:pPr>
    </w:p>
    <w:p w:rsidR="00022DBC" w:rsidRPr="008828D9" w:rsidRDefault="00022DBC" w:rsidP="00022DBC">
      <w:pPr>
        <w:pStyle w:val="FSBullet1"/>
        <w:rPr>
          <w:b/>
        </w:rPr>
      </w:pPr>
      <w:r w:rsidRPr="008828D9">
        <w:rPr>
          <w:b/>
        </w:rPr>
        <w:t>the desirability of an efficient and internationally competitive food industry</w:t>
      </w:r>
    </w:p>
    <w:p w:rsidR="008828D9" w:rsidRDefault="008828D9" w:rsidP="008828D9">
      <w:pPr>
        <w:rPr>
          <w:lang w:bidi="ar-SA"/>
        </w:rPr>
      </w:pPr>
    </w:p>
    <w:p w:rsidR="00EB094F" w:rsidRPr="00EB094F" w:rsidRDefault="00EB094F" w:rsidP="00EB094F">
      <w:pPr>
        <w:rPr>
          <w:lang w:bidi="ar-SA"/>
        </w:rPr>
      </w:pPr>
      <w:r w:rsidRPr="00EB094F">
        <w:rPr>
          <w:lang w:bidi="ar-SA"/>
        </w:rPr>
        <w:t>Approval of irradi</w:t>
      </w:r>
      <w:r w:rsidR="004E0CF4">
        <w:rPr>
          <w:lang w:bidi="ar-SA"/>
        </w:rPr>
        <w:t xml:space="preserve">ation of these commodities </w:t>
      </w:r>
      <w:r w:rsidRPr="00EB094F">
        <w:rPr>
          <w:lang w:bidi="ar-SA"/>
        </w:rPr>
        <w:t xml:space="preserve">may increase the international competiveness of Australian and New Zealand growers gaining access to overseas markets for their produce, and it is also supportive of trans-Tasman trade. </w:t>
      </w:r>
    </w:p>
    <w:p w:rsidR="00AB0AA9" w:rsidRDefault="00AB0AA9" w:rsidP="008828D9">
      <w:pPr>
        <w:rPr>
          <w:color w:val="00B050"/>
        </w:rPr>
      </w:pPr>
    </w:p>
    <w:p w:rsidR="00022DBC" w:rsidRPr="008828D9" w:rsidRDefault="00022DBC" w:rsidP="00022DBC">
      <w:pPr>
        <w:pStyle w:val="FSBullet1"/>
        <w:rPr>
          <w:b/>
        </w:rPr>
      </w:pPr>
      <w:r w:rsidRPr="008828D9">
        <w:rPr>
          <w:b/>
        </w:rPr>
        <w:t>the promotion of fair trading in food</w:t>
      </w:r>
    </w:p>
    <w:p w:rsidR="008828D9" w:rsidRDefault="008828D9" w:rsidP="008828D9">
      <w:pPr>
        <w:rPr>
          <w:lang w:bidi="ar-SA"/>
        </w:rPr>
      </w:pPr>
    </w:p>
    <w:p w:rsidR="00EB094F" w:rsidRPr="00EB094F" w:rsidRDefault="00EB094F" w:rsidP="00EB094F">
      <w:pPr>
        <w:rPr>
          <w:lang w:bidi="ar-SA"/>
        </w:rPr>
      </w:pPr>
      <w:r w:rsidRPr="00EB094F">
        <w:rPr>
          <w:lang w:bidi="ar-SA"/>
        </w:rPr>
        <w:t xml:space="preserve">Not applicable. </w:t>
      </w:r>
    </w:p>
    <w:p w:rsidR="008828D9" w:rsidRPr="008828D9" w:rsidRDefault="008828D9" w:rsidP="008828D9">
      <w:pPr>
        <w:rPr>
          <w:lang w:bidi="ar-SA"/>
        </w:rPr>
      </w:pPr>
    </w:p>
    <w:p w:rsidR="00022DBC" w:rsidRPr="008828D9" w:rsidRDefault="00022DBC" w:rsidP="00022DBC">
      <w:pPr>
        <w:pStyle w:val="FSBullet1"/>
        <w:rPr>
          <w:b/>
        </w:rPr>
      </w:pPr>
      <w:r w:rsidRPr="008828D9">
        <w:rPr>
          <w:b/>
        </w:rPr>
        <w:t xml:space="preserve">any written policy guidelines formulated by the Ministerial </w:t>
      </w:r>
      <w:r w:rsidR="00291224" w:rsidRPr="008828D9">
        <w:rPr>
          <w:b/>
        </w:rPr>
        <w:t>Council</w:t>
      </w:r>
      <w:r w:rsidR="00291224" w:rsidRPr="008828D9">
        <w:rPr>
          <w:rStyle w:val="FootnoteReference"/>
          <w:b/>
        </w:rPr>
        <w:footnoteReference w:id="9"/>
      </w:r>
    </w:p>
    <w:p w:rsidR="00022DBC" w:rsidRDefault="00022DBC" w:rsidP="00022DBC">
      <w:pPr>
        <w:rPr>
          <w:lang w:bidi="ar-SA"/>
        </w:rPr>
      </w:pPr>
    </w:p>
    <w:p w:rsidR="00EB094F" w:rsidRPr="00EB094F" w:rsidRDefault="00EB094F" w:rsidP="00EB094F">
      <w:pPr>
        <w:rPr>
          <w:lang w:bidi="ar-SA"/>
        </w:rPr>
      </w:pPr>
      <w:r w:rsidRPr="00EB094F">
        <w:rPr>
          <w:lang w:bidi="ar-SA"/>
        </w:rPr>
        <w:t>No Policy Guideline is applicable.</w:t>
      </w:r>
    </w:p>
    <w:p w:rsidR="00E520FE" w:rsidRDefault="00E520FE" w:rsidP="00DD3C5E"/>
    <w:p w:rsidR="005F7342" w:rsidRPr="00225C6B" w:rsidRDefault="00867B23" w:rsidP="00E203C2">
      <w:pPr>
        <w:pStyle w:val="Heading1"/>
      </w:pPr>
      <w:bookmarkStart w:id="75" w:name="_Toc286391014"/>
      <w:bookmarkStart w:id="76" w:name="_Toc175381455"/>
      <w:bookmarkStart w:id="77" w:name="_Toc300933445"/>
      <w:bookmarkStart w:id="78" w:name="_Toc396117791"/>
      <w:bookmarkEnd w:id="26"/>
      <w:bookmarkEnd w:id="27"/>
      <w:bookmarkEnd w:id="28"/>
      <w:bookmarkEnd w:id="29"/>
      <w:bookmarkEnd w:id="30"/>
      <w:bookmarkEnd w:id="31"/>
      <w:bookmarkEnd w:id="50"/>
      <w:r w:rsidRPr="00225C6B">
        <w:t>3</w:t>
      </w:r>
      <w:r w:rsidR="00F604DE" w:rsidRPr="00225C6B">
        <w:tab/>
      </w:r>
      <w:bookmarkEnd w:id="75"/>
      <w:bookmarkEnd w:id="76"/>
      <w:bookmarkEnd w:id="77"/>
      <w:r w:rsidR="00D14405" w:rsidRPr="00225C6B">
        <w:t>Draft variation</w:t>
      </w:r>
      <w:r w:rsidR="00381C83">
        <w:t>s</w:t>
      </w:r>
      <w:bookmarkEnd w:id="78"/>
    </w:p>
    <w:p w:rsidR="00E75054" w:rsidRPr="00225C6B" w:rsidRDefault="00923418" w:rsidP="00E75054">
      <w:r w:rsidRPr="00225C6B">
        <w:t xml:space="preserve">The draft </w:t>
      </w:r>
      <w:r w:rsidR="00381C83" w:rsidRPr="00225C6B">
        <w:t>variation</w:t>
      </w:r>
      <w:r w:rsidR="00381C83">
        <w:t>s</w:t>
      </w:r>
      <w:r w:rsidR="00381C83" w:rsidRPr="00225C6B">
        <w:t xml:space="preserve"> to Standard 1.5.3 are</w:t>
      </w:r>
      <w:r w:rsidRPr="00225C6B">
        <w:t xml:space="preserve"> </w:t>
      </w:r>
      <w:r w:rsidR="00A12B44" w:rsidRPr="00225C6B">
        <w:t xml:space="preserve">at </w:t>
      </w:r>
      <w:r w:rsidR="00D26814" w:rsidRPr="00225C6B">
        <w:t xml:space="preserve">Attachment A. </w:t>
      </w:r>
      <w:r w:rsidR="00E75054" w:rsidRPr="00225C6B">
        <w:t xml:space="preserve">The </w:t>
      </w:r>
      <w:r w:rsidRPr="00225C6B">
        <w:t xml:space="preserve">draft </w:t>
      </w:r>
      <w:r w:rsidR="00E75054" w:rsidRPr="00225C6B">
        <w:t>variation</w:t>
      </w:r>
      <w:r w:rsidR="00381C83">
        <w:t xml:space="preserve">s are </w:t>
      </w:r>
      <w:r w:rsidR="005A3A03" w:rsidRPr="00225C6B">
        <w:t>intended to take</w:t>
      </w:r>
      <w:r w:rsidR="00E75054" w:rsidRPr="00225C6B">
        <w:t xml:space="preserve"> effect on</w:t>
      </w:r>
      <w:r w:rsidRPr="00225C6B">
        <w:t xml:space="preserve"> gazettal. </w:t>
      </w:r>
    </w:p>
    <w:p w:rsidR="00E75054" w:rsidRDefault="00E75054" w:rsidP="00A12B44"/>
    <w:p w:rsidR="00A12B44" w:rsidRPr="00D26814" w:rsidRDefault="00D26814" w:rsidP="00A12B44">
      <w:pPr>
        <w:rPr>
          <w:u w:val="single"/>
        </w:rPr>
      </w:pPr>
      <w:r>
        <w:t>A draft explanator</w:t>
      </w:r>
      <w:r w:rsidRPr="00D26814">
        <w:t xml:space="preserve">y statement is at Attachment B.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 xml:space="preserve">ments. </w:t>
      </w:r>
    </w:p>
    <w:p w:rsidR="00265DFF" w:rsidRPr="00265DFF" w:rsidRDefault="00265DFF" w:rsidP="00340849">
      <w:pPr>
        <w:pStyle w:val="Heading2"/>
      </w:pPr>
      <w:bookmarkStart w:id="79" w:name="_Toc175381456"/>
      <w:bookmarkStart w:id="80" w:name="_Toc300761917"/>
      <w:bookmarkStart w:id="81" w:name="_Toc300933449"/>
      <w:bookmarkStart w:id="82" w:name="_Toc387066114"/>
      <w:bookmarkStart w:id="83" w:name="_Toc396117792"/>
      <w:bookmarkStart w:id="84" w:name="_Toc11735643"/>
      <w:bookmarkStart w:id="85" w:name="_Toc29883130"/>
      <w:bookmarkStart w:id="86" w:name="_Toc41906817"/>
      <w:bookmarkStart w:id="87" w:name="_Toc41907564"/>
      <w:bookmarkStart w:id="88" w:name="_Toc43112360"/>
      <w:r w:rsidRPr="00265DFF">
        <w:t>3.1</w:t>
      </w:r>
      <w:r w:rsidRPr="00265DFF">
        <w:tab/>
        <w:t>Transitional arrangements</w:t>
      </w:r>
      <w:bookmarkEnd w:id="79"/>
      <w:bookmarkEnd w:id="80"/>
      <w:bookmarkEnd w:id="81"/>
      <w:bookmarkEnd w:id="82"/>
      <w:bookmarkEnd w:id="83"/>
    </w:p>
    <w:p w:rsidR="00265DFF" w:rsidRPr="00265DFF" w:rsidRDefault="00265DFF" w:rsidP="00265DFF">
      <w:pPr>
        <w:keepNext/>
        <w:spacing w:before="240" w:after="240"/>
        <w:ind w:left="851" w:hanging="851"/>
        <w:outlineLvl w:val="3"/>
        <w:rPr>
          <w:b/>
          <w:bCs/>
          <w:i/>
          <w:iCs/>
          <w:szCs w:val="22"/>
          <w:lang w:bidi="ar-SA"/>
        </w:rPr>
      </w:pPr>
      <w:r w:rsidRPr="00265DFF">
        <w:rPr>
          <w:b/>
          <w:bCs/>
          <w:i/>
          <w:iCs/>
          <w:szCs w:val="22"/>
          <w:lang w:bidi="ar-SA"/>
        </w:rPr>
        <w:t>3.1.1</w:t>
      </w:r>
      <w:r w:rsidRPr="00265DFF">
        <w:rPr>
          <w:b/>
          <w:bCs/>
          <w:i/>
          <w:iCs/>
          <w:szCs w:val="22"/>
          <w:lang w:bidi="ar-SA"/>
        </w:rPr>
        <w:tab/>
        <w:t>Transitional arrangements for Code Revision</w:t>
      </w:r>
    </w:p>
    <w:p w:rsidR="00265DFF" w:rsidRPr="00265DFF" w:rsidRDefault="00265DFF" w:rsidP="00265DFF">
      <w:r w:rsidRPr="00265DFF">
        <w:t>FSANZ is reviewing the Code in order to improve its clarity and legal efficacy. This review is being undertaken through Proposal P1025 – details of which are on the FSANZ website</w:t>
      </w:r>
      <w:r w:rsidRPr="00265DFF">
        <w:rPr>
          <w:vertAlign w:val="superscript"/>
        </w:rPr>
        <w:footnoteReference w:id="10"/>
      </w:r>
      <w:r w:rsidRPr="00265DFF">
        <w:t xml:space="preserve">. FSANZ released a draft revision of the Code for public comment in May 2013. The draft revision has changed the Code’s structure and format. A further draft revision of the Code and call for submissions was released in July 2014. </w:t>
      </w:r>
    </w:p>
    <w:p w:rsidR="00265DFF" w:rsidRPr="00265DFF" w:rsidRDefault="00265DFF" w:rsidP="00265DFF"/>
    <w:p w:rsidR="00265DFF" w:rsidRPr="00265DFF" w:rsidRDefault="00265DFF" w:rsidP="00265DFF">
      <w:r w:rsidRPr="00265DFF">
        <w:t xml:space="preserve">The FSANZ Board is expected to consider P1025 and the proposed changes to the Code in late 2014. If approved, it expected that the new Code will commence in 2015 and will repeal and replace the current Code. The new Code will then need to be amended to incorporate any outstanding changes made to the current Code, including the variations at Attachment A. </w:t>
      </w:r>
    </w:p>
    <w:p w:rsidR="00DF5EF5" w:rsidRDefault="00DF5EF5" w:rsidP="002432EE">
      <w:pPr>
        <w:rPr>
          <w:rFonts w:cs="Arial"/>
          <w:color w:val="FF0000"/>
        </w:rPr>
      </w:pPr>
      <w:r>
        <w:rPr>
          <w:rFonts w:cs="Arial"/>
          <w:color w:val="FF0000"/>
        </w:rPr>
        <w:br w:type="page"/>
      </w:r>
    </w:p>
    <w:p w:rsidR="00924C80" w:rsidRPr="00933EA9" w:rsidRDefault="00867B23" w:rsidP="00E75054">
      <w:pPr>
        <w:pStyle w:val="Heading1"/>
      </w:pPr>
      <w:bookmarkStart w:id="89" w:name="_Toc300933452"/>
      <w:bookmarkStart w:id="90" w:name="_Toc396117793"/>
      <w:r w:rsidRPr="00933EA9">
        <w:lastRenderedPageBreak/>
        <w:t>4</w:t>
      </w:r>
      <w:r w:rsidR="00924C80" w:rsidRPr="00933EA9">
        <w:tab/>
        <w:t>R</w:t>
      </w:r>
      <w:bookmarkEnd w:id="89"/>
      <w:r w:rsidR="006C28E2" w:rsidRPr="00933EA9">
        <w:t>eferences</w:t>
      </w:r>
      <w:bookmarkEnd w:id="90"/>
    </w:p>
    <w:p w:rsidR="009C0114" w:rsidRPr="00EF275D" w:rsidRDefault="009C0114" w:rsidP="009C0114">
      <w:pPr>
        <w:rPr>
          <w:sz w:val="20"/>
          <w:szCs w:val="20"/>
        </w:rPr>
      </w:pPr>
      <w:proofErr w:type="gramStart"/>
      <w:r w:rsidRPr="00EF275D">
        <w:rPr>
          <w:sz w:val="20"/>
          <w:szCs w:val="20"/>
        </w:rPr>
        <w:t>Cassidy et al (2007) Leukoencephalomyelopathy in specific pathogen-free cats.</w:t>
      </w:r>
      <w:proofErr w:type="gramEnd"/>
      <w:r w:rsidRPr="00EF275D">
        <w:rPr>
          <w:sz w:val="20"/>
          <w:szCs w:val="20"/>
        </w:rPr>
        <w:t xml:space="preserve"> Vet. Pathol </w:t>
      </w:r>
      <w:r w:rsidRPr="00EF275D">
        <w:rPr>
          <w:b/>
          <w:sz w:val="20"/>
          <w:szCs w:val="20"/>
        </w:rPr>
        <w:t>44</w:t>
      </w:r>
      <w:r w:rsidRPr="00EF275D">
        <w:rPr>
          <w:sz w:val="20"/>
          <w:szCs w:val="20"/>
        </w:rPr>
        <w:t>: 912-916.</w:t>
      </w:r>
    </w:p>
    <w:p w:rsidR="009C0114" w:rsidRPr="00EF275D" w:rsidRDefault="009C0114" w:rsidP="009C0114">
      <w:pPr>
        <w:rPr>
          <w:sz w:val="20"/>
          <w:szCs w:val="20"/>
        </w:rPr>
      </w:pPr>
    </w:p>
    <w:p w:rsidR="009C0114" w:rsidRPr="00EF275D" w:rsidRDefault="009C0114" w:rsidP="009C0114">
      <w:pPr>
        <w:rPr>
          <w:sz w:val="20"/>
          <w:szCs w:val="20"/>
        </w:rPr>
      </w:pPr>
      <w:r w:rsidRPr="00EF275D">
        <w:rPr>
          <w:sz w:val="20"/>
          <w:szCs w:val="20"/>
        </w:rPr>
        <w:t xml:space="preserve">Caulfield CD et al (2009) </w:t>
      </w:r>
      <w:proofErr w:type="gramStart"/>
      <w:r w:rsidRPr="00EF275D">
        <w:rPr>
          <w:sz w:val="20"/>
          <w:szCs w:val="20"/>
        </w:rPr>
        <w:t>The</w:t>
      </w:r>
      <w:proofErr w:type="gramEnd"/>
      <w:r w:rsidRPr="00EF275D">
        <w:rPr>
          <w:sz w:val="20"/>
          <w:szCs w:val="20"/>
        </w:rPr>
        <w:t xml:space="preserve"> experimental induction of leukoencephalomyelopathy in cats. Vet. </w:t>
      </w:r>
      <w:proofErr w:type="gramStart"/>
      <w:r w:rsidRPr="00EF275D">
        <w:rPr>
          <w:sz w:val="20"/>
          <w:szCs w:val="20"/>
        </w:rPr>
        <w:t>Pathol.</w:t>
      </w:r>
      <w:proofErr w:type="gramEnd"/>
      <w:r w:rsidRPr="00EF275D">
        <w:rPr>
          <w:sz w:val="20"/>
          <w:szCs w:val="20"/>
        </w:rPr>
        <w:t xml:space="preserve"> 46: 1258-1269.</w:t>
      </w:r>
    </w:p>
    <w:p w:rsidR="009C0114" w:rsidRPr="00EF275D" w:rsidRDefault="009C0114" w:rsidP="009C0114">
      <w:pPr>
        <w:rPr>
          <w:sz w:val="20"/>
          <w:szCs w:val="20"/>
        </w:rPr>
      </w:pPr>
    </w:p>
    <w:p w:rsidR="009C0114" w:rsidRPr="00EF275D" w:rsidRDefault="009C0114" w:rsidP="009C0114">
      <w:pPr>
        <w:rPr>
          <w:color w:val="3333FF"/>
          <w:sz w:val="20"/>
          <w:szCs w:val="20"/>
          <w:u w:val="single"/>
        </w:rPr>
      </w:pPr>
      <w:r w:rsidRPr="00EF275D">
        <w:rPr>
          <w:sz w:val="20"/>
          <w:szCs w:val="20"/>
        </w:rPr>
        <w:t xml:space="preserve">European Food Safety Authority (2011) </w:t>
      </w:r>
      <w:proofErr w:type="gramStart"/>
      <w:r w:rsidRPr="00EF275D">
        <w:rPr>
          <w:sz w:val="20"/>
          <w:szCs w:val="20"/>
        </w:rPr>
        <w:t>Scientific</w:t>
      </w:r>
      <w:proofErr w:type="gramEnd"/>
      <w:r w:rsidRPr="00EF275D">
        <w:rPr>
          <w:sz w:val="20"/>
          <w:szCs w:val="20"/>
        </w:rPr>
        <w:t xml:space="preserve"> opinion on the chemical safety of irradiation of food. EFSA Journal 2011</w:t>
      </w:r>
      <w:proofErr w:type="gramStart"/>
      <w:r w:rsidRPr="00EF275D">
        <w:rPr>
          <w:sz w:val="20"/>
          <w:szCs w:val="20"/>
        </w:rPr>
        <w:t>;9</w:t>
      </w:r>
      <w:proofErr w:type="gramEnd"/>
      <w:r w:rsidRPr="00EF275D">
        <w:rPr>
          <w:sz w:val="20"/>
          <w:szCs w:val="20"/>
        </w:rPr>
        <w:t xml:space="preserve">(4). </w:t>
      </w:r>
      <w:hyperlink r:id="rId22" w:history="1">
        <w:r w:rsidRPr="00EF275D">
          <w:rPr>
            <w:color w:val="3333FF"/>
            <w:sz w:val="20"/>
            <w:szCs w:val="20"/>
            <w:u w:val="single"/>
          </w:rPr>
          <w:t>http://www.efsa.europa.eu/en/efsajournal/pub/1930.htm</w:t>
        </w:r>
      </w:hyperlink>
    </w:p>
    <w:p w:rsidR="009C0114" w:rsidRPr="00EF275D" w:rsidRDefault="009C0114" w:rsidP="009C0114">
      <w:pPr>
        <w:rPr>
          <w:color w:val="3333FF"/>
          <w:sz w:val="20"/>
          <w:szCs w:val="20"/>
          <w:u w:val="single"/>
        </w:rPr>
      </w:pPr>
    </w:p>
    <w:p w:rsidR="009C0114" w:rsidRPr="00EF275D" w:rsidRDefault="009C0114" w:rsidP="009C0114">
      <w:pPr>
        <w:rPr>
          <w:sz w:val="20"/>
          <w:szCs w:val="20"/>
        </w:rPr>
      </w:pPr>
      <w:proofErr w:type="gramStart"/>
      <w:r w:rsidRPr="00EF275D">
        <w:rPr>
          <w:sz w:val="20"/>
          <w:szCs w:val="20"/>
        </w:rPr>
        <w:t>WHO (1999) High-dose irradiation: Wholesomeness of food irradiated with doses above 10 kGy.</w:t>
      </w:r>
      <w:proofErr w:type="gramEnd"/>
      <w:r w:rsidRPr="00EF275D">
        <w:rPr>
          <w:sz w:val="20"/>
          <w:szCs w:val="20"/>
        </w:rPr>
        <w:t xml:space="preserve"> </w:t>
      </w:r>
      <w:proofErr w:type="gramStart"/>
      <w:r w:rsidRPr="00EF275D">
        <w:rPr>
          <w:sz w:val="20"/>
          <w:szCs w:val="20"/>
        </w:rPr>
        <w:t>Joint FAO/IAEA/WHO Study Group on High-Dose Irradiation.</w:t>
      </w:r>
      <w:proofErr w:type="gramEnd"/>
      <w:r w:rsidRPr="00EF275D">
        <w:rPr>
          <w:sz w:val="20"/>
          <w:szCs w:val="20"/>
        </w:rPr>
        <w:t xml:space="preserve"> WHO Technical Report Series 890. Geneva.</w:t>
      </w:r>
    </w:p>
    <w:bookmarkEnd w:id="84"/>
    <w:bookmarkEnd w:id="85"/>
    <w:bookmarkEnd w:id="86"/>
    <w:bookmarkEnd w:id="87"/>
    <w:bookmarkEnd w:id="88"/>
    <w:p w:rsidR="003C4969" w:rsidRPr="00924C80" w:rsidRDefault="00924C80" w:rsidP="002432EE">
      <w:pPr>
        <w:spacing w:before="240"/>
        <w:rPr>
          <w:b/>
          <w:sz w:val="28"/>
          <w:szCs w:val="28"/>
        </w:rPr>
      </w:pPr>
      <w:r w:rsidRPr="00924C80">
        <w:rPr>
          <w:b/>
          <w:sz w:val="28"/>
          <w:szCs w:val="28"/>
        </w:rPr>
        <w:t>A</w:t>
      </w:r>
      <w:r>
        <w:rPr>
          <w:b/>
          <w:sz w:val="28"/>
          <w:szCs w:val="28"/>
        </w:rPr>
        <w:t>ttachments</w:t>
      </w:r>
    </w:p>
    <w:p w:rsidR="00A4175D" w:rsidRPr="00E203C2" w:rsidRDefault="00A4175D" w:rsidP="00AF06FC"/>
    <w:p w:rsidR="00924C80" w:rsidRPr="00B53C43" w:rsidRDefault="00A4175D" w:rsidP="00D14405">
      <w:pPr>
        <w:pStyle w:val="CommentText"/>
        <w:ind w:left="567" w:hanging="567"/>
      </w:pPr>
      <w:r w:rsidRPr="00B53C43">
        <w:rPr>
          <w:sz w:val="22"/>
          <w:szCs w:val="22"/>
        </w:rPr>
        <w:t>A.</w:t>
      </w:r>
      <w:r w:rsidRPr="00B53C43">
        <w:rPr>
          <w:sz w:val="22"/>
          <w:szCs w:val="22"/>
        </w:rPr>
        <w:tab/>
      </w:r>
      <w:r w:rsidR="00410C76" w:rsidRPr="00B53C43">
        <w:rPr>
          <w:sz w:val="22"/>
          <w:szCs w:val="22"/>
        </w:rPr>
        <w:t xml:space="preserve">Draft </w:t>
      </w:r>
      <w:r w:rsidR="0007466A" w:rsidRPr="00B53C43">
        <w:rPr>
          <w:sz w:val="22"/>
          <w:szCs w:val="22"/>
        </w:rPr>
        <w:t>variation</w:t>
      </w:r>
      <w:r w:rsidR="00D8471A" w:rsidRPr="00B53C43">
        <w:rPr>
          <w:sz w:val="22"/>
          <w:szCs w:val="22"/>
        </w:rPr>
        <w:t>s</w:t>
      </w:r>
      <w:r w:rsidR="0007466A" w:rsidRPr="00B53C43">
        <w:rPr>
          <w:sz w:val="22"/>
          <w:szCs w:val="22"/>
        </w:rPr>
        <w:t xml:space="preserve"> to the </w:t>
      </w:r>
      <w:r w:rsidR="0007466A" w:rsidRPr="00B53C43">
        <w:rPr>
          <w:i/>
          <w:sz w:val="22"/>
          <w:szCs w:val="22"/>
        </w:rPr>
        <w:t>Australia New Zealand Food Standards Code</w:t>
      </w:r>
      <w:r w:rsidR="00364841" w:rsidRPr="00B53C43">
        <w:rPr>
          <w:sz w:val="22"/>
          <w:szCs w:val="22"/>
        </w:rPr>
        <w:t xml:space="preserve"> </w:t>
      </w:r>
    </w:p>
    <w:p w:rsidR="001542D8" w:rsidRPr="00B53C43" w:rsidRDefault="00A4175D" w:rsidP="00A4175D">
      <w:pPr>
        <w:rPr>
          <w:szCs w:val="22"/>
        </w:rPr>
      </w:pPr>
      <w:r w:rsidRPr="00B53C43">
        <w:rPr>
          <w:szCs w:val="22"/>
        </w:rPr>
        <w:t>B.</w:t>
      </w:r>
      <w:r w:rsidRPr="00B53C43">
        <w:rPr>
          <w:szCs w:val="22"/>
        </w:rPr>
        <w:tab/>
      </w:r>
      <w:r w:rsidR="001542D8" w:rsidRPr="00B53C43">
        <w:rPr>
          <w:szCs w:val="22"/>
        </w:rPr>
        <w:t>Draft Explanatory Statement</w:t>
      </w:r>
    </w:p>
    <w:p w:rsidR="00902423" w:rsidRDefault="003C4969" w:rsidP="00902423">
      <w:pPr>
        <w:pStyle w:val="Heading2"/>
        <w:ind w:left="0" w:firstLine="0"/>
        <w:rPr>
          <w:i/>
        </w:rPr>
      </w:pPr>
      <w:r w:rsidRPr="00B53C43">
        <w:br w:type="page"/>
      </w:r>
      <w:bookmarkStart w:id="91" w:name="_Toc29883131"/>
      <w:bookmarkStart w:id="92" w:name="_Toc41906818"/>
      <w:bookmarkStart w:id="93" w:name="_Toc41907565"/>
      <w:bookmarkStart w:id="94" w:name="_Toc120358596"/>
      <w:bookmarkStart w:id="95" w:name="_Toc175381458"/>
      <w:bookmarkStart w:id="96" w:name="_Toc11735644"/>
      <w:bookmarkStart w:id="97" w:name="_Toc286391017"/>
      <w:bookmarkStart w:id="98" w:name="_Toc300933453"/>
      <w:bookmarkStart w:id="99" w:name="_Toc396117794"/>
      <w:r w:rsidRPr="00932F14">
        <w:lastRenderedPageBreak/>
        <w:t xml:space="preserve">Attachment </w:t>
      </w:r>
      <w:bookmarkEnd w:id="91"/>
      <w:bookmarkEnd w:id="92"/>
      <w:bookmarkEnd w:id="93"/>
      <w:bookmarkEnd w:id="94"/>
      <w:bookmarkEnd w:id="95"/>
      <w:r w:rsidR="00456B54">
        <w:t>A</w:t>
      </w:r>
      <w:bookmarkStart w:id="100" w:name="_Toc120358597"/>
      <w:bookmarkStart w:id="101" w:name="_Toc175381459"/>
      <w:bookmarkEnd w:id="96"/>
      <w:r w:rsidR="007C174F">
        <w:t xml:space="preserve"> – </w:t>
      </w:r>
      <w:r w:rsidR="00D0706C">
        <w:t>Draft variation</w:t>
      </w:r>
      <w:r w:rsidRPr="00F7535A">
        <w:t xml:space="preserve">s to the </w:t>
      </w:r>
      <w:r w:rsidRPr="00F7535A">
        <w:rPr>
          <w:i/>
        </w:rPr>
        <w:t xml:space="preserve">Australia New Zealand </w:t>
      </w:r>
      <w:r w:rsidRPr="007C174F">
        <w:rPr>
          <w:i/>
        </w:rPr>
        <w:t>Food Standards Code</w:t>
      </w:r>
      <w:bookmarkEnd w:id="97"/>
      <w:bookmarkEnd w:id="98"/>
      <w:bookmarkEnd w:id="100"/>
      <w:bookmarkEnd w:id="101"/>
      <w:bookmarkEnd w:id="99"/>
    </w:p>
    <w:p w:rsidR="00D0706C" w:rsidRDefault="00D0706C" w:rsidP="00340849">
      <w:pPr>
        <w:rPr>
          <w:noProof/>
          <w:lang w:eastAsia="en-GB"/>
        </w:rPr>
      </w:pPr>
      <w:bookmarkStart w:id="102" w:name="_Toc395087753"/>
      <w:r>
        <w:rPr>
          <w:noProof/>
          <w:lang w:eastAsia="en-GB" w:bidi="ar-SA"/>
        </w:rPr>
        <w:drawing>
          <wp:inline distT="0" distB="0" distL="0" distR="0" wp14:anchorId="3A3C1EBE" wp14:editId="2F74254F">
            <wp:extent cx="3021085" cy="49011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22341" cy="490323"/>
                    </a:xfrm>
                    <a:prstGeom prst="rect">
                      <a:avLst/>
                    </a:prstGeom>
                    <a:noFill/>
                    <a:ln>
                      <a:noFill/>
                    </a:ln>
                  </pic:spPr>
                </pic:pic>
              </a:graphicData>
            </a:graphic>
          </wp:inline>
        </w:drawing>
      </w:r>
      <w:bookmarkEnd w:id="102"/>
    </w:p>
    <w:p w:rsidR="00DF5EF5" w:rsidRDefault="00DF5EF5" w:rsidP="00340849">
      <w:bookmarkStart w:id="103" w:name="_Toc395087754"/>
    </w:p>
    <w:p w:rsidR="00902423" w:rsidRPr="00DF5EF5" w:rsidRDefault="00902423" w:rsidP="00340849">
      <w:pPr>
        <w:rPr>
          <w:i/>
          <w:sz w:val="20"/>
        </w:rPr>
      </w:pPr>
      <w:r w:rsidRPr="00DF5EF5">
        <w:rPr>
          <w:i/>
          <w:sz w:val="20"/>
        </w:rPr>
        <w:t>Food Standards (Application A1092 – Irradiation of Specific Fruits</w:t>
      </w:r>
      <w:r w:rsidR="00250C1C" w:rsidRPr="00DF5EF5">
        <w:rPr>
          <w:rFonts w:cs="Arial"/>
          <w:i/>
          <w:sz w:val="20"/>
        </w:rPr>
        <w:t xml:space="preserve"> &amp; Vegetables</w:t>
      </w:r>
      <w:r w:rsidRPr="00DF5EF5">
        <w:rPr>
          <w:i/>
          <w:sz w:val="20"/>
        </w:rPr>
        <w:t>) Variation</w:t>
      </w:r>
      <w:bookmarkEnd w:id="103"/>
    </w:p>
    <w:p w:rsidR="00902423" w:rsidRPr="00902423" w:rsidRDefault="00902423" w:rsidP="00902423">
      <w:pPr>
        <w:pBdr>
          <w:bottom w:val="single" w:sz="4" w:space="1" w:color="auto"/>
        </w:pBdr>
        <w:tabs>
          <w:tab w:val="left" w:pos="851"/>
        </w:tabs>
        <w:rPr>
          <w:b/>
          <w:sz w:val="20"/>
          <w:szCs w:val="20"/>
          <w:lang w:bidi="ar-SA"/>
        </w:rPr>
      </w:pPr>
    </w:p>
    <w:p w:rsidR="00902423" w:rsidRPr="00902423" w:rsidRDefault="00902423" w:rsidP="00902423">
      <w:pPr>
        <w:tabs>
          <w:tab w:val="left" w:pos="851"/>
        </w:tabs>
        <w:rPr>
          <w:sz w:val="20"/>
          <w:szCs w:val="20"/>
          <w:lang w:bidi="ar-SA"/>
        </w:rPr>
      </w:pPr>
    </w:p>
    <w:p w:rsidR="00902423" w:rsidRPr="00902423" w:rsidRDefault="00902423" w:rsidP="00902423">
      <w:pPr>
        <w:tabs>
          <w:tab w:val="left" w:pos="851"/>
        </w:tabs>
        <w:rPr>
          <w:sz w:val="20"/>
          <w:szCs w:val="20"/>
          <w:lang w:bidi="ar-SA"/>
        </w:rPr>
      </w:pPr>
      <w:r w:rsidRPr="00902423">
        <w:rPr>
          <w:sz w:val="20"/>
          <w:szCs w:val="20"/>
          <w:lang w:bidi="ar-SA"/>
        </w:rPr>
        <w:t xml:space="preserve">The Board of Food Standards Australia New Zealand gives notice of the making of this variation under section 92 of the </w:t>
      </w:r>
      <w:r w:rsidRPr="00902423">
        <w:rPr>
          <w:i/>
          <w:sz w:val="20"/>
          <w:szCs w:val="20"/>
          <w:lang w:bidi="ar-SA"/>
        </w:rPr>
        <w:t>Food Standards Australia New Zealand Act 1991</w:t>
      </w:r>
      <w:r w:rsidRPr="00902423">
        <w:rPr>
          <w:sz w:val="20"/>
          <w:szCs w:val="20"/>
          <w:lang w:bidi="ar-SA"/>
        </w:rPr>
        <w:t>.  The Standard commences on the date specified in clause 3 of this variation.</w:t>
      </w:r>
    </w:p>
    <w:p w:rsidR="00902423" w:rsidRPr="00902423" w:rsidRDefault="00902423" w:rsidP="00902423">
      <w:pPr>
        <w:tabs>
          <w:tab w:val="left" w:pos="851"/>
        </w:tabs>
        <w:rPr>
          <w:sz w:val="20"/>
          <w:szCs w:val="20"/>
          <w:lang w:bidi="ar-SA"/>
        </w:rPr>
      </w:pPr>
    </w:p>
    <w:p w:rsidR="00902423" w:rsidRPr="00902423" w:rsidRDefault="00902423" w:rsidP="00902423">
      <w:pPr>
        <w:tabs>
          <w:tab w:val="left" w:pos="851"/>
        </w:tabs>
        <w:rPr>
          <w:sz w:val="20"/>
          <w:szCs w:val="20"/>
          <w:lang w:bidi="ar-SA"/>
        </w:rPr>
      </w:pPr>
      <w:r w:rsidRPr="00902423">
        <w:rPr>
          <w:sz w:val="20"/>
          <w:szCs w:val="20"/>
          <w:lang w:bidi="ar-SA"/>
        </w:rPr>
        <w:t>Dated [To be completed by Standards Management Officer]</w:t>
      </w:r>
    </w:p>
    <w:p w:rsidR="00902423" w:rsidRPr="00902423" w:rsidRDefault="00902423" w:rsidP="00902423">
      <w:pPr>
        <w:tabs>
          <w:tab w:val="left" w:pos="851"/>
        </w:tabs>
        <w:rPr>
          <w:sz w:val="20"/>
          <w:szCs w:val="20"/>
          <w:lang w:bidi="ar-SA"/>
        </w:rPr>
      </w:pPr>
    </w:p>
    <w:p w:rsidR="00902423" w:rsidRPr="00902423" w:rsidRDefault="00902423" w:rsidP="00902423">
      <w:pPr>
        <w:tabs>
          <w:tab w:val="left" w:pos="851"/>
        </w:tabs>
        <w:rPr>
          <w:sz w:val="20"/>
          <w:szCs w:val="20"/>
          <w:lang w:bidi="ar-SA"/>
        </w:rPr>
      </w:pPr>
    </w:p>
    <w:p w:rsidR="00902423" w:rsidRPr="00902423" w:rsidRDefault="00902423" w:rsidP="00902423">
      <w:pPr>
        <w:tabs>
          <w:tab w:val="left" w:pos="851"/>
        </w:tabs>
        <w:rPr>
          <w:sz w:val="20"/>
          <w:szCs w:val="20"/>
          <w:lang w:bidi="ar-SA"/>
        </w:rPr>
      </w:pPr>
    </w:p>
    <w:p w:rsidR="00902423" w:rsidRPr="00902423" w:rsidRDefault="00902423" w:rsidP="00902423">
      <w:pPr>
        <w:tabs>
          <w:tab w:val="left" w:pos="851"/>
        </w:tabs>
        <w:rPr>
          <w:sz w:val="20"/>
          <w:szCs w:val="20"/>
          <w:lang w:bidi="ar-SA"/>
        </w:rPr>
      </w:pPr>
    </w:p>
    <w:p w:rsidR="00902423" w:rsidRPr="00902423" w:rsidRDefault="00902423" w:rsidP="00902423">
      <w:pPr>
        <w:tabs>
          <w:tab w:val="left" w:pos="851"/>
        </w:tabs>
        <w:rPr>
          <w:sz w:val="20"/>
          <w:szCs w:val="20"/>
          <w:lang w:bidi="ar-SA"/>
        </w:rPr>
      </w:pPr>
    </w:p>
    <w:p w:rsidR="00902423" w:rsidRPr="00902423" w:rsidRDefault="00902423" w:rsidP="00902423">
      <w:pPr>
        <w:tabs>
          <w:tab w:val="left" w:pos="851"/>
        </w:tabs>
        <w:rPr>
          <w:sz w:val="20"/>
          <w:szCs w:val="20"/>
          <w:lang w:bidi="ar-SA"/>
        </w:rPr>
      </w:pPr>
      <w:r w:rsidRPr="00902423">
        <w:rPr>
          <w:sz w:val="20"/>
          <w:szCs w:val="20"/>
          <w:lang w:bidi="ar-SA"/>
        </w:rPr>
        <w:t>Standards Management Officer</w:t>
      </w:r>
    </w:p>
    <w:p w:rsidR="00902423" w:rsidRPr="00902423" w:rsidRDefault="00902423" w:rsidP="00902423">
      <w:pPr>
        <w:tabs>
          <w:tab w:val="left" w:pos="851"/>
        </w:tabs>
        <w:rPr>
          <w:sz w:val="20"/>
          <w:szCs w:val="20"/>
          <w:lang w:bidi="ar-SA"/>
        </w:rPr>
      </w:pPr>
      <w:r w:rsidRPr="00902423">
        <w:rPr>
          <w:sz w:val="20"/>
          <w:szCs w:val="20"/>
          <w:lang w:bidi="ar-SA"/>
        </w:rPr>
        <w:t>Delegate of the Board of Food Standards Australia New Zealand</w:t>
      </w:r>
    </w:p>
    <w:p w:rsidR="00902423" w:rsidRPr="00902423" w:rsidRDefault="00902423" w:rsidP="00902423">
      <w:pPr>
        <w:tabs>
          <w:tab w:val="left" w:pos="851"/>
        </w:tabs>
        <w:rPr>
          <w:sz w:val="20"/>
          <w:szCs w:val="20"/>
          <w:lang w:bidi="ar-SA"/>
        </w:rPr>
      </w:pPr>
    </w:p>
    <w:p w:rsidR="00902423" w:rsidRPr="00902423" w:rsidRDefault="00902423" w:rsidP="00902423">
      <w:pPr>
        <w:tabs>
          <w:tab w:val="left" w:pos="851"/>
        </w:tabs>
        <w:rPr>
          <w:sz w:val="20"/>
          <w:szCs w:val="20"/>
          <w:lang w:bidi="ar-SA"/>
        </w:rPr>
      </w:pPr>
    </w:p>
    <w:p w:rsidR="00902423" w:rsidRPr="00902423" w:rsidRDefault="00902423" w:rsidP="00902423">
      <w:pPr>
        <w:tabs>
          <w:tab w:val="left" w:pos="851"/>
        </w:tabs>
        <w:rPr>
          <w:sz w:val="20"/>
          <w:szCs w:val="20"/>
          <w:lang w:bidi="ar-SA"/>
        </w:rPr>
      </w:pPr>
    </w:p>
    <w:p w:rsidR="00902423" w:rsidRPr="00902423" w:rsidRDefault="00902423" w:rsidP="00902423">
      <w:pPr>
        <w:tabs>
          <w:tab w:val="left" w:pos="851"/>
        </w:tabs>
        <w:rPr>
          <w:sz w:val="20"/>
          <w:szCs w:val="20"/>
          <w:lang w:bidi="ar-SA"/>
        </w:rPr>
      </w:pPr>
    </w:p>
    <w:p w:rsidR="00902423" w:rsidRPr="00902423" w:rsidRDefault="00902423" w:rsidP="00902423">
      <w:pPr>
        <w:tabs>
          <w:tab w:val="left" w:pos="851"/>
        </w:tabs>
        <w:rPr>
          <w:sz w:val="20"/>
          <w:szCs w:val="20"/>
          <w:lang w:bidi="ar-SA"/>
        </w:rPr>
      </w:pPr>
    </w:p>
    <w:p w:rsidR="00902423" w:rsidRPr="00902423" w:rsidRDefault="00902423" w:rsidP="00902423">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902423">
        <w:rPr>
          <w:b/>
          <w:sz w:val="20"/>
          <w:szCs w:val="20"/>
          <w:lang w:val="en-AU" w:bidi="ar-SA"/>
        </w:rPr>
        <w:t xml:space="preserve">Note:  </w:t>
      </w:r>
    </w:p>
    <w:p w:rsidR="00902423" w:rsidRPr="00902423" w:rsidRDefault="00902423" w:rsidP="00902423">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rsidR="00902423" w:rsidRPr="00902423" w:rsidRDefault="00902423" w:rsidP="00902423">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902423">
        <w:rPr>
          <w:sz w:val="20"/>
          <w:szCs w:val="20"/>
          <w:lang w:val="en-AU" w:bidi="ar-SA"/>
        </w:rPr>
        <w:t xml:space="preserve">This variation will be published in the Commonwealth of Australia Gazette No. </w:t>
      </w:r>
      <w:proofErr w:type="gramStart"/>
      <w:r w:rsidRPr="00902423">
        <w:rPr>
          <w:sz w:val="20"/>
          <w:szCs w:val="20"/>
          <w:lang w:val="en-AU" w:bidi="ar-SA"/>
        </w:rPr>
        <w:t xml:space="preserve">FSC </w:t>
      </w:r>
      <w:r w:rsidRPr="00902423">
        <w:rPr>
          <w:color w:val="FF0000"/>
          <w:sz w:val="20"/>
          <w:szCs w:val="20"/>
          <w:lang w:val="en-AU" w:bidi="ar-SA"/>
        </w:rPr>
        <w:t>XX on XX Month 20XX</w:t>
      </w:r>
      <w:r w:rsidRPr="00902423">
        <w:rPr>
          <w:sz w:val="20"/>
          <w:szCs w:val="20"/>
          <w:lang w:val="en-AU" w:bidi="ar-SA"/>
        </w:rPr>
        <w:t>.</w:t>
      </w:r>
      <w:proofErr w:type="gramEnd"/>
      <w:r w:rsidRPr="00902423">
        <w:rPr>
          <w:sz w:val="20"/>
          <w:szCs w:val="20"/>
          <w:lang w:val="en-AU" w:bidi="ar-SA"/>
        </w:rPr>
        <w:t xml:space="preserve"> This means that this date is the gazettal date for the purposes of clause 3 of the variation. </w:t>
      </w:r>
    </w:p>
    <w:p w:rsidR="00902423" w:rsidRPr="00902423" w:rsidRDefault="00902423" w:rsidP="00902423">
      <w:pPr>
        <w:tabs>
          <w:tab w:val="left" w:pos="851"/>
        </w:tabs>
        <w:rPr>
          <w:sz w:val="20"/>
          <w:szCs w:val="20"/>
          <w:lang w:bidi="ar-SA"/>
        </w:rPr>
      </w:pPr>
    </w:p>
    <w:p w:rsidR="00902423" w:rsidRPr="00902423" w:rsidRDefault="00902423" w:rsidP="00902423">
      <w:pPr>
        <w:widowControl/>
        <w:rPr>
          <w:sz w:val="20"/>
          <w:szCs w:val="20"/>
          <w:lang w:bidi="ar-SA"/>
        </w:rPr>
      </w:pPr>
      <w:r w:rsidRPr="00902423">
        <w:rPr>
          <w:sz w:val="20"/>
          <w:szCs w:val="20"/>
          <w:lang w:bidi="ar-SA"/>
        </w:rPr>
        <w:br w:type="page"/>
      </w:r>
    </w:p>
    <w:p w:rsidR="00902423" w:rsidRPr="00902423" w:rsidRDefault="00902423" w:rsidP="00902423">
      <w:pPr>
        <w:tabs>
          <w:tab w:val="left" w:pos="851"/>
        </w:tabs>
        <w:rPr>
          <w:b/>
          <w:sz w:val="20"/>
          <w:szCs w:val="20"/>
          <w:lang w:bidi="ar-SA"/>
        </w:rPr>
      </w:pPr>
      <w:r w:rsidRPr="00902423">
        <w:rPr>
          <w:b/>
          <w:sz w:val="20"/>
          <w:szCs w:val="20"/>
          <w:lang w:bidi="ar-SA"/>
        </w:rPr>
        <w:lastRenderedPageBreak/>
        <w:t>1</w:t>
      </w:r>
      <w:r w:rsidRPr="00902423">
        <w:rPr>
          <w:b/>
          <w:sz w:val="20"/>
          <w:szCs w:val="20"/>
          <w:lang w:bidi="ar-SA"/>
        </w:rPr>
        <w:tab/>
        <w:t>Name</w:t>
      </w:r>
    </w:p>
    <w:p w:rsidR="00902423" w:rsidRPr="00902423" w:rsidRDefault="00902423" w:rsidP="00902423">
      <w:pPr>
        <w:tabs>
          <w:tab w:val="left" w:pos="851"/>
        </w:tabs>
        <w:rPr>
          <w:sz w:val="20"/>
          <w:szCs w:val="20"/>
          <w:lang w:bidi="ar-SA"/>
        </w:rPr>
      </w:pPr>
    </w:p>
    <w:p w:rsidR="00902423" w:rsidRPr="00250C1C" w:rsidRDefault="00902423" w:rsidP="00902423">
      <w:pPr>
        <w:tabs>
          <w:tab w:val="left" w:pos="851"/>
        </w:tabs>
        <w:rPr>
          <w:i/>
          <w:sz w:val="20"/>
          <w:szCs w:val="20"/>
          <w:lang w:bidi="ar-SA"/>
        </w:rPr>
      </w:pPr>
      <w:r w:rsidRPr="00902423">
        <w:rPr>
          <w:sz w:val="20"/>
          <w:szCs w:val="20"/>
          <w:lang w:bidi="ar-SA"/>
        </w:rPr>
        <w:t xml:space="preserve">This instrument is the </w:t>
      </w:r>
      <w:r w:rsidRPr="00902423">
        <w:rPr>
          <w:i/>
          <w:sz w:val="20"/>
          <w:szCs w:val="20"/>
          <w:lang w:bidi="ar-SA"/>
        </w:rPr>
        <w:t>Food Standards (Application A1092 – Irradiation of Specific Fruits</w:t>
      </w:r>
      <w:r w:rsidR="00250C1C" w:rsidRPr="00250C1C">
        <w:rPr>
          <w:rFonts w:cs="Arial"/>
        </w:rPr>
        <w:t xml:space="preserve"> </w:t>
      </w:r>
      <w:r w:rsidR="00250C1C" w:rsidRPr="00250C1C">
        <w:rPr>
          <w:rFonts w:cs="Arial"/>
          <w:i/>
          <w:sz w:val="20"/>
          <w:szCs w:val="20"/>
        </w:rPr>
        <w:t>&amp;</w:t>
      </w:r>
      <w:r w:rsidR="00250C1C">
        <w:rPr>
          <w:rFonts w:cs="Arial"/>
          <w:i/>
          <w:sz w:val="20"/>
          <w:szCs w:val="20"/>
        </w:rPr>
        <w:t xml:space="preserve"> V</w:t>
      </w:r>
      <w:r w:rsidR="00250C1C" w:rsidRPr="00250C1C">
        <w:rPr>
          <w:rFonts w:cs="Arial"/>
          <w:i/>
          <w:sz w:val="20"/>
          <w:szCs w:val="20"/>
        </w:rPr>
        <w:t>egetables</w:t>
      </w:r>
      <w:r w:rsidRPr="00250C1C">
        <w:rPr>
          <w:i/>
          <w:sz w:val="20"/>
          <w:szCs w:val="20"/>
          <w:lang w:bidi="ar-SA"/>
        </w:rPr>
        <w:t>) Variation.</w:t>
      </w:r>
    </w:p>
    <w:p w:rsidR="00902423" w:rsidRPr="00902423" w:rsidRDefault="00902423" w:rsidP="00902423">
      <w:pPr>
        <w:tabs>
          <w:tab w:val="left" w:pos="851"/>
        </w:tabs>
        <w:rPr>
          <w:sz w:val="20"/>
          <w:szCs w:val="20"/>
          <w:lang w:bidi="ar-SA"/>
        </w:rPr>
      </w:pPr>
    </w:p>
    <w:p w:rsidR="00902423" w:rsidRPr="00902423" w:rsidRDefault="00902423" w:rsidP="00902423">
      <w:pPr>
        <w:ind w:left="851" w:hanging="851"/>
        <w:rPr>
          <w:b/>
          <w:sz w:val="20"/>
          <w:szCs w:val="20"/>
          <w:lang w:bidi="ar-SA"/>
        </w:rPr>
      </w:pPr>
      <w:r w:rsidRPr="00902423">
        <w:rPr>
          <w:b/>
          <w:sz w:val="20"/>
          <w:szCs w:val="20"/>
          <w:lang w:bidi="ar-SA"/>
        </w:rPr>
        <w:t>2</w:t>
      </w:r>
      <w:r w:rsidRPr="00902423">
        <w:rPr>
          <w:b/>
          <w:sz w:val="20"/>
          <w:szCs w:val="20"/>
          <w:lang w:bidi="ar-SA"/>
        </w:rPr>
        <w:tab/>
        <w:t xml:space="preserve">Variation to </w:t>
      </w:r>
      <w:r w:rsidR="00724CB4">
        <w:rPr>
          <w:b/>
          <w:sz w:val="20"/>
          <w:szCs w:val="20"/>
          <w:lang w:bidi="ar-SA"/>
        </w:rPr>
        <w:t xml:space="preserve">a </w:t>
      </w:r>
      <w:r w:rsidRPr="00902423">
        <w:rPr>
          <w:b/>
          <w:sz w:val="20"/>
          <w:szCs w:val="20"/>
          <w:lang w:bidi="ar-SA"/>
        </w:rPr>
        <w:t xml:space="preserve">Standard in the </w:t>
      </w:r>
      <w:r w:rsidRPr="00902423">
        <w:rPr>
          <w:b/>
          <w:i/>
          <w:sz w:val="20"/>
          <w:szCs w:val="20"/>
          <w:lang w:bidi="ar-SA"/>
        </w:rPr>
        <w:t>Australia New Zealand Food Standards Code</w:t>
      </w:r>
    </w:p>
    <w:p w:rsidR="00902423" w:rsidRPr="00902423" w:rsidRDefault="00902423" w:rsidP="00902423">
      <w:pPr>
        <w:tabs>
          <w:tab w:val="left" w:pos="851"/>
        </w:tabs>
        <w:rPr>
          <w:sz w:val="20"/>
          <w:szCs w:val="20"/>
          <w:lang w:bidi="ar-SA"/>
        </w:rPr>
      </w:pPr>
    </w:p>
    <w:p w:rsidR="00902423" w:rsidRPr="00902423" w:rsidRDefault="00902423" w:rsidP="00902423">
      <w:pPr>
        <w:tabs>
          <w:tab w:val="left" w:pos="851"/>
        </w:tabs>
        <w:rPr>
          <w:sz w:val="20"/>
          <w:szCs w:val="20"/>
          <w:lang w:bidi="ar-SA"/>
        </w:rPr>
      </w:pPr>
      <w:r w:rsidRPr="00902423">
        <w:rPr>
          <w:sz w:val="20"/>
          <w:szCs w:val="20"/>
          <w:lang w:bidi="ar-SA"/>
        </w:rPr>
        <w:t xml:space="preserve">The Schedule varies a Standard in the </w:t>
      </w:r>
      <w:r w:rsidRPr="00902423">
        <w:rPr>
          <w:i/>
          <w:sz w:val="20"/>
          <w:szCs w:val="20"/>
          <w:lang w:bidi="ar-SA"/>
        </w:rPr>
        <w:t>Australia New Zealand Food Standards Code</w:t>
      </w:r>
      <w:r w:rsidRPr="00902423">
        <w:rPr>
          <w:sz w:val="20"/>
          <w:szCs w:val="20"/>
          <w:lang w:bidi="ar-SA"/>
        </w:rPr>
        <w:t>.</w:t>
      </w:r>
    </w:p>
    <w:p w:rsidR="00902423" w:rsidRPr="00902423" w:rsidRDefault="00902423" w:rsidP="00902423">
      <w:pPr>
        <w:tabs>
          <w:tab w:val="left" w:pos="851"/>
        </w:tabs>
        <w:rPr>
          <w:sz w:val="20"/>
          <w:szCs w:val="20"/>
          <w:lang w:bidi="ar-SA"/>
        </w:rPr>
      </w:pPr>
    </w:p>
    <w:p w:rsidR="00902423" w:rsidRPr="00902423" w:rsidRDefault="00902423" w:rsidP="00902423">
      <w:pPr>
        <w:tabs>
          <w:tab w:val="left" w:pos="851"/>
        </w:tabs>
        <w:rPr>
          <w:b/>
          <w:sz w:val="20"/>
          <w:szCs w:val="20"/>
          <w:lang w:bidi="ar-SA"/>
        </w:rPr>
      </w:pPr>
      <w:r w:rsidRPr="00902423">
        <w:rPr>
          <w:b/>
          <w:sz w:val="20"/>
          <w:szCs w:val="20"/>
          <w:lang w:bidi="ar-SA"/>
        </w:rPr>
        <w:t>3</w:t>
      </w:r>
      <w:r w:rsidRPr="00902423">
        <w:rPr>
          <w:b/>
          <w:sz w:val="20"/>
          <w:szCs w:val="20"/>
          <w:lang w:bidi="ar-SA"/>
        </w:rPr>
        <w:tab/>
        <w:t>Commencement</w:t>
      </w:r>
    </w:p>
    <w:p w:rsidR="00902423" w:rsidRPr="00902423" w:rsidRDefault="00902423" w:rsidP="00902423">
      <w:pPr>
        <w:tabs>
          <w:tab w:val="left" w:pos="851"/>
        </w:tabs>
        <w:rPr>
          <w:sz w:val="20"/>
          <w:szCs w:val="20"/>
          <w:lang w:bidi="ar-SA"/>
        </w:rPr>
      </w:pPr>
    </w:p>
    <w:p w:rsidR="00902423" w:rsidRPr="00902423" w:rsidRDefault="00902423" w:rsidP="00902423">
      <w:pPr>
        <w:tabs>
          <w:tab w:val="left" w:pos="851"/>
        </w:tabs>
        <w:rPr>
          <w:sz w:val="20"/>
          <w:szCs w:val="20"/>
          <w:lang w:bidi="ar-SA"/>
        </w:rPr>
      </w:pPr>
      <w:r w:rsidRPr="00902423">
        <w:rPr>
          <w:sz w:val="20"/>
          <w:szCs w:val="20"/>
          <w:lang w:bidi="ar-SA"/>
        </w:rPr>
        <w:t>The variation commences on the date of gazettal.</w:t>
      </w:r>
    </w:p>
    <w:p w:rsidR="00902423" w:rsidRPr="00902423" w:rsidRDefault="00902423" w:rsidP="00902423">
      <w:pPr>
        <w:tabs>
          <w:tab w:val="left" w:pos="851"/>
        </w:tabs>
        <w:jc w:val="center"/>
        <w:rPr>
          <w:b/>
          <w:caps/>
          <w:sz w:val="20"/>
          <w:szCs w:val="20"/>
          <w:lang w:bidi="ar-SA"/>
        </w:rPr>
      </w:pPr>
    </w:p>
    <w:p w:rsidR="00902423" w:rsidRPr="00902423" w:rsidRDefault="00902423" w:rsidP="00902423">
      <w:pPr>
        <w:tabs>
          <w:tab w:val="left" w:pos="851"/>
        </w:tabs>
        <w:jc w:val="center"/>
        <w:rPr>
          <w:b/>
          <w:caps/>
          <w:sz w:val="20"/>
          <w:szCs w:val="20"/>
          <w:lang w:bidi="ar-SA"/>
        </w:rPr>
      </w:pPr>
      <w:r w:rsidRPr="00902423">
        <w:rPr>
          <w:b/>
          <w:caps/>
          <w:sz w:val="20"/>
          <w:szCs w:val="20"/>
          <w:lang w:bidi="ar-SA"/>
        </w:rPr>
        <w:t>SCHEDULE</w:t>
      </w:r>
    </w:p>
    <w:p w:rsidR="00902423" w:rsidRPr="00902423" w:rsidRDefault="00902423" w:rsidP="00902423">
      <w:pPr>
        <w:tabs>
          <w:tab w:val="left" w:pos="851"/>
        </w:tabs>
        <w:rPr>
          <w:sz w:val="20"/>
          <w:szCs w:val="20"/>
          <w:lang w:bidi="ar-SA"/>
        </w:rPr>
      </w:pPr>
    </w:p>
    <w:p w:rsidR="00902423" w:rsidRPr="00902423" w:rsidRDefault="00902423" w:rsidP="00902423">
      <w:pPr>
        <w:tabs>
          <w:tab w:val="left" w:pos="851"/>
        </w:tabs>
        <w:rPr>
          <w:sz w:val="20"/>
          <w:szCs w:val="20"/>
          <w:lang w:bidi="ar-SA"/>
        </w:rPr>
      </w:pPr>
      <w:r w:rsidRPr="00902423">
        <w:rPr>
          <w:b/>
          <w:sz w:val="20"/>
          <w:szCs w:val="20"/>
          <w:lang w:bidi="ar-SA"/>
        </w:rPr>
        <w:t>[1]</w:t>
      </w:r>
      <w:r w:rsidRPr="00902423">
        <w:rPr>
          <w:b/>
          <w:sz w:val="20"/>
          <w:szCs w:val="20"/>
          <w:lang w:bidi="ar-SA"/>
        </w:rPr>
        <w:tab/>
        <w:t xml:space="preserve">Standard 1.5.3 </w:t>
      </w:r>
      <w:r w:rsidRPr="00902423">
        <w:rPr>
          <w:sz w:val="20"/>
          <w:szCs w:val="20"/>
          <w:lang w:bidi="ar-SA"/>
        </w:rPr>
        <w:t>is varied by</w:t>
      </w:r>
    </w:p>
    <w:p w:rsidR="00902423" w:rsidRPr="00902423" w:rsidRDefault="00902423" w:rsidP="00902423">
      <w:pPr>
        <w:tabs>
          <w:tab w:val="left" w:pos="851"/>
        </w:tabs>
        <w:rPr>
          <w:sz w:val="20"/>
          <w:szCs w:val="20"/>
          <w:lang w:bidi="ar-SA"/>
        </w:rPr>
      </w:pPr>
    </w:p>
    <w:p w:rsidR="00902423" w:rsidRPr="00902423" w:rsidRDefault="00902423" w:rsidP="00902423">
      <w:pPr>
        <w:tabs>
          <w:tab w:val="left" w:pos="851"/>
        </w:tabs>
        <w:rPr>
          <w:sz w:val="20"/>
          <w:szCs w:val="20"/>
          <w:lang w:bidi="ar-SA"/>
        </w:rPr>
      </w:pPr>
      <w:r w:rsidRPr="00902423">
        <w:rPr>
          <w:sz w:val="20"/>
          <w:szCs w:val="20"/>
          <w:lang w:bidi="ar-SA"/>
        </w:rPr>
        <w:t>[1.1]</w:t>
      </w:r>
      <w:r w:rsidRPr="00902423">
        <w:rPr>
          <w:sz w:val="20"/>
          <w:szCs w:val="20"/>
          <w:lang w:bidi="ar-SA"/>
        </w:rPr>
        <w:tab/>
        <w:t>omitting from the Table to clause 4</w:t>
      </w:r>
    </w:p>
    <w:p w:rsidR="00902423" w:rsidRPr="00902423" w:rsidRDefault="00902423" w:rsidP="00902423">
      <w:pPr>
        <w:tabs>
          <w:tab w:val="left" w:pos="851"/>
        </w:tabs>
        <w:rPr>
          <w:szCs w:val="20"/>
          <w:lang w:bidi="ar-SA"/>
        </w:rPr>
      </w:pPr>
    </w:p>
    <w:p w:rsidR="00902423" w:rsidRPr="00902423" w:rsidRDefault="00902423" w:rsidP="00902423">
      <w:pPr>
        <w:ind w:left="142" w:hanging="142"/>
        <w:rPr>
          <w:bCs/>
          <w:sz w:val="20"/>
          <w:szCs w:val="20"/>
          <w:lang w:bidi="ar-SA"/>
        </w:rPr>
      </w:pPr>
      <w:r w:rsidRPr="00902423">
        <w:rPr>
          <w:bCs/>
          <w:sz w:val="20"/>
          <w:szCs w:val="20"/>
          <w:lang w:bidi="ar-SA"/>
        </w:rPr>
        <w:t>“</w:t>
      </w:r>
    </w:p>
    <w:tbl>
      <w:tblPr>
        <w:tblW w:w="9072" w:type="dxa"/>
        <w:tblLayout w:type="fixed"/>
        <w:tblCellMar>
          <w:left w:w="80" w:type="dxa"/>
          <w:right w:w="80" w:type="dxa"/>
        </w:tblCellMar>
        <w:tblLook w:val="0000" w:firstRow="0" w:lastRow="0" w:firstColumn="0" w:lastColumn="0" w:noHBand="0" w:noVBand="0"/>
      </w:tblPr>
      <w:tblGrid>
        <w:gridCol w:w="3360"/>
        <w:gridCol w:w="2000"/>
        <w:gridCol w:w="3712"/>
      </w:tblGrid>
      <w:tr w:rsidR="00902423" w:rsidRPr="00902423" w:rsidTr="00961C6D">
        <w:tc>
          <w:tcPr>
            <w:tcW w:w="3360" w:type="dxa"/>
            <w:tcBorders>
              <w:top w:val="single" w:sz="6" w:space="0" w:color="auto"/>
              <w:left w:val="single" w:sz="6" w:space="0" w:color="auto"/>
              <w:bottom w:val="single" w:sz="6" w:space="0" w:color="auto"/>
              <w:right w:val="single" w:sz="6" w:space="0" w:color="auto"/>
            </w:tcBorders>
          </w:tcPr>
          <w:p w:rsidR="00902423" w:rsidRPr="00902423" w:rsidRDefault="00902423" w:rsidP="00902423">
            <w:pPr>
              <w:ind w:left="142" w:hanging="142"/>
              <w:rPr>
                <w:bCs/>
                <w:sz w:val="18"/>
                <w:szCs w:val="20"/>
              </w:rPr>
            </w:pPr>
            <w:r w:rsidRPr="00902423">
              <w:rPr>
                <w:bCs/>
                <w:sz w:val="18"/>
                <w:szCs w:val="20"/>
              </w:rPr>
              <w:t>Bread fruit</w:t>
            </w:r>
          </w:p>
          <w:p w:rsidR="00902423" w:rsidRPr="00902423" w:rsidRDefault="00902423" w:rsidP="00902423">
            <w:pPr>
              <w:ind w:left="142" w:hanging="142"/>
              <w:rPr>
                <w:bCs/>
                <w:sz w:val="18"/>
                <w:szCs w:val="20"/>
              </w:rPr>
            </w:pPr>
            <w:r w:rsidRPr="00902423">
              <w:rPr>
                <w:bCs/>
                <w:sz w:val="18"/>
                <w:szCs w:val="20"/>
              </w:rPr>
              <w:t>Capsicum</w:t>
            </w:r>
          </w:p>
          <w:p w:rsidR="00902423" w:rsidRPr="00902423" w:rsidRDefault="00902423" w:rsidP="00902423">
            <w:pPr>
              <w:ind w:left="142" w:hanging="142"/>
              <w:rPr>
                <w:bCs/>
                <w:sz w:val="18"/>
                <w:szCs w:val="20"/>
              </w:rPr>
            </w:pPr>
            <w:r w:rsidRPr="00902423">
              <w:rPr>
                <w:bCs/>
                <w:sz w:val="18"/>
                <w:szCs w:val="20"/>
              </w:rPr>
              <w:t>Carambola</w:t>
            </w:r>
          </w:p>
          <w:p w:rsidR="00902423" w:rsidRPr="00902423" w:rsidRDefault="00902423" w:rsidP="00902423">
            <w:pPr>
              <w:ind w:left="142" w:hanging="142"/>
              <w:rPr>
                <w:bCs/>
                <w:sz w:val="18"/>
                <w:szCs w:val="20"/>
              </w:rPr>
            </w:pPr>
            <w:r w:rsidRPr="00902423">
              <w:rPr>
                <w:bCs/>
                <w:sz w:val="18"/>
                <w:szCs w:val="20"/>
              </w:rPr>
              <w:t>Custard apple</w:t>
            </w:r>
          </w:p>
          <w:p w:rsidR="00902423" w:rsidRPr="00902423" w:rsidRDefault="00902423" w:rsidP="00902423">
            <w:pPr>
              <w:ind w:left="142" w:hanging="142"/>
              <w:rPr>
                <w:bCs/>
                <w:sz w:val="18"/>
                <w:szCs w:val="20"/>
              </w:rPr>
            </w:pPr>
            <w:r w:rsidRPr="00902423">
              <w:rPr>
                <w:bCs/>
                <w:sz w:val="18"/>
                <w:szCs w:val="20"/>
              </w:rPr>
              <w:t>Longan</w:t>
            </w:r>
          </w:p>
          <w:p w:rsidR="00902423" w:rsidRPr="00902423" w:rsidRDefault="00902423" w:rsidP="00902423">
            <w:pPr>
              <w:ind w:left="142" w:hanging="142"/>
              <w:rPr>
                <w:bCs/>
                <w:sz w:val="18"/>
                <w:szCs w:val="20"/>
              </w:rPr>
            </w:pPr>
            <w:r w:rsidRPr="00902423">
              <w:rPr>
                <w:bCs/>
                <w:sz w:val="18"/>
                <w:szCs w:val="20"/>
              </w:rPr>
              <w:t>Litchi</w:t>
            </w:r>
          </w:p>
          <w:p w:rsidR="00902423" w:rsidRPr="00902423" w:rsidRDefault="00902423" w:rsidP="00902423">
            <w:pPr>
              <w:ind w:left="142" w:hanging="142"/>
              <w:rPr>
                <w:bCs/>
                <w:sz w:val="18"/>
                <w:szCs w:val="20"/>
              </w:rPr>
            </w:pPr>
            <w:r w:rsidRPr="00902423">
              <w:rPr>
                <w:bCs/>
                <w:sz w:val="18"/>
                <w:szCs w:val="20"/>
              </w:rPr>
              <w:t>Mango</w:t>
            </w:r>
          </w:p>
          <w:p w:rsidR="00902423" w:rsidRPr="00902423" w:rsidRDefault="00902423" w:rsidP="00902423">
            <w:pPr>
              <w:ind w:left="142" w:hanging="142"/>
              <w:rPr>
                <w:bCs/>
                <w:sz w:val="18"/>
                <w:szCs w:val="20"/>
              </w:rPr>
            </w:pPr>
            <w:r w:rsidRPr="00902423">
              <w:rPr>
                <w:bCs/>
                <w:sz w:val="18"/>
                <w:szCs w:val="20"/>
              </w:rPr>
              <w:t>Mangosteen</w:t>
            </w:r>
          </w:p>
          <w:p w:rsidR="00902423" w:rsidRPr="00902423" w:rsidRDefault="00902423" w:rsidP="00902423">
            <w:pPr>
              <w:ind w:left="142" w:hanging="142"/>
              <w:rPr>
                <w:bCs/>
                <w:sz w:val="18"/>
                <w:szCs w:val="20"/>
              </w:rPr>
            </w:pPr>
            <w:r w:rsidRPr="00902423">
              <w:rPr>
                <w:bCs/>
                <w:sz w:val="18"/>
                <w:szCs w:val="20"/>
              </w:rPr>
              <w:t>Papaya (Paw paw)</w:t>
            </w:r>
          </w:p>
          <w:p w:rsidR="00902423" w:rsidRPr="00902423" w:rsidRDefault="00902423" w:rsidP="00902423">
            <w:pPr>
              <w:ind w:left="142" w:hanging="142"/>
              <w:rPr>
                <w:bCs/>
                <w:sz w:val="18"/>
                <w:szCs w:val="20"/>
              </w:rPr>
            </w:pPr>
            <w:r w:rsidRPr="00902423">
              <w:rPr>
                <w:bCs/>
                <w:sz w:val="18"/>
                <w:szCs w:val="20"/>
              </w:rPr>
              <w:t>Persimmon</w:t>
            </w:r>
          </w:p>
          <w:p w:rsidR="00902423" w:rsidRPr="00902423" w:rsidRDefault="00902423" w:rsidP="00902423">
            <w:pPr>
              <w:ind w:left="142" w:hanging="142"/>
              <w:rPr>
                <w:bCs/>
                <w:sz w:val="18"/>
                <w:szCs w:val="20"/>
              </w:rPr>
            </w:pPr>
            <w:r w:rsidRPr="00902423">
              <w:rPr>
                <w:bCs/>
                <w:sz w:val="18"/>
                <w:szCs w:val="20"/>
              </w:rPr>
              <w:t>Rambutan</w:t>
            </w:r>
          </w:p>
          <w:p w:rsidR="00902423" w:rsidRPr="00902423" w:rsidRDefault="00902423" w:rsidP="00902423">
            <w:pPr>
              <w:ind w:left="142" w:hanging="142"/>
              <w:rPr>
                <w:bCs/>
                <w:sz w:val="18"/>
                <w:szCs w:val="20"/>
              </w:rPr>
            </w:pPr>
            <w:r w:rsidRPr="00902423">
              <w:rPr>
                <w:bCs/>
                <w:sz w:val="18"/>
                <w:szCs w:val="20"/>
              </w:rPr>
              <w:t>Tomato</w:t>
            </w:r>
          </w:p>
        </w:tc>
        <w:tc>
          <w:tcPr>
            <w:tcW w:w="2000" w:type="dxa"/>
            <w:tcBorders>
              <w:top w:val="single" w:sz="6" w:space="0" w:color="auto"/>
              <w:left w:val="single" w:sz="6" w:space="0" w:color="auto"/>
              <w:bottom w:val="single" w:sz="6" w:space="0" w:color="auto"/>
              <w:right w:val="single" w:sz="6" w:space="0" w:color="auto"/>
            </w:tcBorders>
          </w:tcPr>
          <w:p w:rsidR="00902423" w:rsidRPr="00902423" w:rsidRDefault="00902423" w:rsidP="00902423">
            <w:pPr>
              <w:ind w:left="142" w:hanging="142"/>
              <w:rPr>
                <w:bCs/>
                <w:sz w:val="18"/>
                <w:szCs w:val="20"/>
              </w:rPr>
            </w:pPr>
            <w:r w:rsidRPr="00902423">
              <w:rPr>
                <w:bCs/>
                <w:sz w:val="18"/>
                <w:szCs w:val="20"/>
              </w:rPr>
              <w:t xml:space="preserve">Minimum: 150 Gy </w:t>
            </w:r>
          </w:p>
          <w:p w:rsidR="00902423" w:rsidRPr="00902423" w:rsidRDefault="00902423" w:rsidP="00902423">
            <w:pPr>
              <w:ind w:left="142" w:hanging="142"/>
              <w:rPr>
                <w:bCs/>
                <w:sz w:val="18"/>
                <w:szCs w:val="20"/>
              </w:rPr>
            </w:pPr>
            <w:r w:rsidRPr="00902423">
              <w:rPr>
                <w:bCs/>
                <w:sz w:val="18"/>
                <w:szCs w:val="20"/>
              </w:rPr>
              <w:t xml:space="preserve">Maximum: 1 kGy </w:t>
            </w:r>
          </w:p>
        </w:tc>
        <w:tc>
          <w:tcPr>
            <w:tcW w:w="3712" w:type="dxa"/>
            <w:tcBorders>
              <w:top w:val="single" w:sz="6" w:space="0" w:color="auto"/>
              <w:left w:val="single" w:sz="6" w:space="0" w:color="auto"/>
              <w:bottom w:val="single" w:sz="6" w:space="0" w:color="auto"/>
              <w:right w:val="single" w:sz="6" w:space="0" w:color="auto"/>
            </w:tcBorders>
          </w:tcPr>
          <w:p w:rsidR="00902423" w:rsidRPr="00902423" w:rsidRDefault="00902423" w:rsidP="00902423">
            <w:pPr>
              <w:ind w:left="142" w:hanging="142"/>
              <w:rPr>
                <w:bCs/>
                <w:sz w:val="18"/>
                <w:szCs w:val="20"/>
              </w:rPr>
            </w:pPr>
            <w:r w:rsidRPr="00902423">
              <w:rPr>
                <w:bCs/>
                <w:sz w:val="18"/>
                <w:szCs w:val="20"/>
              </w:rPr>
              <w:t>Pest disinfestation for a phytosanitary objective.</w:t>
            </w:r>
          </w:p>
          <w:p w:rsidR="00902423" w:rsidRPr="00902423" w:rsidRDefault="00902423" w:rsidP="00902423">
            <w:pPr>
              <w:ind w:left="142" w:hanging="142"/>
              <w:rPr>
                <w:bCs/>
                <w:sz w:val="18"/>
                <w:szCs w:val="20"/>
              </w:rPr>
            </w:pPr>
          </w:p>
          <w:p w:rsidR="00902423" w:rsidRPr="00902423" w:rsidRDefault="00902423" w:rsidP="00902423">
            <w:pPr>
              <w:ind w:left="142" w:hanging="142"/>
              <w:rPr>
                <w:bCs/>
                <w:sz w:val="18"/>
                <w:szCs w:val="20"/>
              </w:rPr>
            </w:pPr>
          </w:p>
        </w:tc>
      </w:tr>
    </w:tbl>
    <w:p w:rsidR="00902423" w:rsidRPr="00902423" w:rsidRDefault="00902423" w:rsidP="00902423">
      <w:pPr>
        <w:tabs>
          <w:tab w:val="left" w:pos="851"/>
        </w:tabs>
        <w:jc w:val="right"/>
        <w:rPr>
          <w:sz w:val="20"/>
          <w:szCs w:val="20"/>
          <w:lang w:bidi="ar-SA"/>
        </w:rPr>
      </w:pPr>
      <w:r w:rsidRPr="00902423">
        <w:rPr>
          <w:sz w:val="20"/>
          <w:szCs w:val="20"/>
          <w:lang w:bidi="ar-SA"/>
        </w:rPr>
        <w:t>”</w:t>
      </w:r>
    </w:p>
    <w:p w:rsidR="00902423" w:rsidRPr="00902423" w:rsidRDefault="00902423" w:rsidP="00902423">
      <w:pPr>
        <w:tabs>
          <w:tab w:val="left" w:pos="851"/>
        </w:tabs>
        <w:rPr>
          <w:sz w:val="20"/>
          <w:szCs w:val="20"/>
          <w:lang w:bidi="ar-SA"/>
        </w:rPr>
      </w:pPr>
    </w:p>
    <w:p w:rsidR="00902423" w:rsidRPr="00902423" w:rsidRDefault="00902423" w:rsidP="00902423">
      <w:pPr>
        <w:tabs>
          <w:tab w:val="left" w:pos="851"/>
        </w:tabs>
        <w:rPr>
          <w:sz w:val="20"/>
          <w:szCs w:val="20"/>
          <w:lang w:bidi="ar-SA"/>
        </w:rPr>
      </w:pPr>
      <w:r w:rsidRPr="00902423">
        <w:rPr>
          <w:sz w:val="20"/>
          <w:szCs w:val="20"/>
          <w:lang w:bidi="ar-SA"/>
        </w:rPr>
        <w:t>[1.2]</w:t>
      </w:r>
      <w:r w:rsidRPr="00902423">
        <w:rPr>
          <w:sz w:val="20"/>
          <w:szCs w:val="20"/>
          <w:lang w:bidi="ar-SA"/>
        </w:rPr>
        <w:tab/>
        <w:t>inserting in the Table to clause 4</w:t>
      </w:r>
    </w:p>
    <w:p w:rsidR="00902423" w:rsidRPr="00902423" w:rsidRDefault="00902423" w:rsidP="00902423">
      <w:pPr>
        <w:tabs>
          <w:tab w:val="left" w:pos="851"/>
        </w:tabs>
        <w:rPr>
          <w:sz w:val="20"/>
          <w:szCs w:val="20"/>
          <w:lang w:bidi="ar-SA"/>
        </w:rPr>
      </w:pPr>
    </w:p>
    <w:p w:rsidR="00902423" w:rsidRPr="00902423" w:rsidRDefault="00902423" w:rsidP="00902423">
      <w:pPr>
        <w:tabs>
          <w:tab w:val="left" w:pos="851"/>
        </w:tabs>
        <w:rPr>
          <w:sz w:val="18"/>
          <w:szCs w:val="18"/>
          <w:lang w:bidi="ar-SA"/>
        </w:rPr>
      </w:pPr>
      <w:r w:rsidRPr="00902423">
        <w:rPr>
          <w:sz w:val="18"/>
          <w:szCs w:val="18"/>
          <w:lang w:bidi="ar-SA"/>
        </w:rPr>
        <w:t>“</w:t>
      </w:r>
    </w:p>
    <w:tbl>
      <w:tblPr>
        <w:tblW w:w="9072" w:type="dxa"/>
        <w:tblLayout w:type="fixed"/>
        <w:tblCellMar>
          <w:left w:w="80" w:type="dxa"/>
          <w:right w:w="80" w:type="dxa"/>
        </w:tblCellMar>
        <w:tblLook w:val="0000" w:firstRow="0" w:lastRow="0" w:firstColumn="0" w:lastColumn="0" w:noHBand="0" w:noVBand="0"/>
      </w:tblPr>
      <w:tblGrid>
        <w:gridCol w:w="3360"/>
        <w:gridCol w:w="2000"/>
        <w:gridCol w:w="3712"/>
      </w:tblGrid>
      <w:tr w:rsidR="00902423" w:rsidRPr="00902423" w:rsidTr="00961C6D">
        <w:tc>
          <w:tcPr>
            <w:tcW w:w="3360" w:type="dxa"/>
            <w:tcBorders>
              <w:top w:val="single" w:sz="6" w:space="0" w:color="auto"/>
              <w:left w:val="single" w:sz="6" w:space="0" w:color="auto"/>
              <w:bottom w:val="single" w:sz="6" w:space="0" w:color="auto"/>
              <w:right w:val="single" w:sz="6" w:space="0" w:color="auto"/>
            </w:tcBorders>
          </w:tcPr>
          <w:p w:rsidR="00902423" w:rsidRPr="00902423" w:rsidRDefault="00902423" w:rsidP="00902423">
            <w:pPr>
              <w:ind w:left="142" w:hanging="142"/>
              <w:rPr>
                <w:bCs/>
                <w:sz w:val="18"/>
                <w:szCs w:val="20"/>
              </w:rPr>
            </w:pPr>
            <w:r w:rsidRPr="00902423">
              <w:rPr>
                <w:bCs/>
                <w:sz w:val="18"/>
                <w:szCs w:val="20"/>
              </w:rPr>
              <w:t>Apple</w:t>
            </w:r>
          </w:p>
          <w:p w:rsidR="00902423" w:rsidRPr="00902423" w:rsidRDefault="00902423" w:rsidP="00902423">
            <w:pPr>
              <w:ind w:left="142" w:hanging="142"/>
              <w:rPr>
                <w:bCs/>
                <w:sz w:val="18"/>
                <w:szCs w:val="20"/>
              </w:rPr>
            </w:pPr>
            <w:r w:rsidRPr="00902423">
              <w:rPr>
                <w:bCs/>
                <w:sz w:val="18"/>
                <w:szCs w:val="20"/>
              </w:rPr>
              <w:t>Apricot</w:t>
            </w:r>
          </w:p>
          <w:p w:rsidR="00902423" w:rsidRPr="00902423" w:rsidRDefault="00902423" w:rsidP="00902423">
            <w:pPr>
              <w:ind w:left="142" w:hanging="142"/>
              <w:rPr>
                <w:bCs/>
                <w:sz w:val="18"/>
                <w:szCs w:val="20"/>
              </w:rPr>
            </w:pPr>
            <w:r w:rsidRPr="00902423">
              <w:rPr>
                <w:bCs/>
                <w:sz w:val="18"/>
                <w:szCs w:val="20"/>
              </w:rPr>
              <w:t>Bread fruit</w:t>
            </w:r>
          </w:p>
          <w:p w:rsidR="00902423" w:rsidRPr="00902423" w:rsidRDefault="00902423" w:rsidP="00902423">
            <w:pPr>
              <w:ind w:left="142" w:hanging="142"/>
              <w:rPr>
                <w:bCs/>
                <w:sz w:val="18"/>
                <w:szCs w:val="20"/>
              </w:rPr>
            </w:pPr>
            <w:r w:rsidRPr="00902423">
              <w:rPr>
                <w:bCs/>
                <w:sz w:val="18"/>
                <w:szCs w:val="20"/>
              </w:rPr>
              <w:t>Capsicum</w:t>
            </w:r>
          </w:p>
          <w:p w:rsidR="00902423" w:rsidRPr="00902423" w:rsidRDefault="00902423" w:rsidP="00902423">
            <w:pPr>
              <w:ind w:left="142" w:hanging="142"/>
              <w:rPr>
                <w:bCs/>
                <w:sz w:val="18"/>
                <w:szCs w:val="20"/>
              </w:rPr>
            </w:pPr>
            <w:r w:rsidRPr="00902423">
              <w:rPr>
                <w:bCs/>
                <w:sz w:val="18"/>
                <w:szCs w:val="20"/>
              </w:rPr>
              <w:t>Carambola</w:t>
            </w:r>
          </w:p>
          <w:p w:rsidR="00902423" w:rsidRPr="00902423" w:rsidRDefault="00902423" w:rsidP="00902423">
            <w:pPr>
              <w:ind w:left="142" w:hanging="142"/>
              <w:rPr>
                <w:bCs/>
                <w:sz w:val="18"/>
                <w:szCs w:val="20"/>
              </w:rPr>
            </w:pPr>
            <w:r w:rsidRPr="00902423">
              <w:rPr>
                <w:bCs/>
                <w:sz w:val="18"/>
                <w:szCs w:val="20"/>
              </w:rPr>
              <w:t>Cherry</w:t>
            </w:r>
          </w:p>
          <w:p w:rsidR="00902423" w:rsidRPr="00902423" w:rsidRDefault="00902423" w:rsidP="00902423">
            <w:pPr>
              <w:ind w:left="142" w:hanging="142"/>
              <w:rPr>
                <w:bCs/>
                <w:sz w:val="18"/>
                <w:szCs w:val="20"/>
              </w:rPr>
            </w:pPr>
            <w:r w:rsidRPr="00902423">
              <w:rPr>
                <w:bCs/>
                <w:sz w:val="18"/>
                <w:szCs w:val="20"/>
              </w:rPr>
              <w:t>Custard apple</w:t>
            </w:r>
          </w:p>
          <w:p w:rsidR="00902423" w:rsidRPr="00902423" w:rsidRDefault="00902423" w:rsidP="00902423">
            <w:pPr>
              <w:ind w:left="142" w:hanging="142"/>
              <w:rPr>
                <w:bCs/>
                <w:sz w:val="18"/>
                <w:szCs w:val="20"/>
              </w:rPr>
            </w:pPr>
            <w:r w:rsidRPr="00902423">
              <w:rPr>
                <w:bCs/>
                <w:sz w:val="18"/>
                <w:szCs w:val="20"/>
              </w:rPr>
              <w:t>Honeydew</w:t>
            </w:r>
          </w:p>
          <w:p w:rsidR="00902423" w:rsidRDefault="00902423" w:rsidP="00902423">
            <w:pPr>
              <w:ind w:left="142" w:hanging="142"/>
              <w:rPr>
                <w:bCs/>
                <w:sz w:val="18"/>
                <w:szCs w:val="20"/>
              </w:rPr>
            </w:pPr>
            <w:r w:rsidRPr="00902423">
              <w:rPr>
                <w:bCs/>
                <w:sz w:val="18"/>
                <w:szCs w:val="20"/>
              </w:rPr>
              <w:t>Litchi</w:t>
            </w:r>
          </w:p>
          <w:p w:rsidR="00724CB4" w:rsidRPr="00902423" w:rsidRDefault="00724CB4" w:rsidP="00902423">
            <w:pPr>
              <w:ind w:left="142" w:hanging="142"/>
              <w:rPr>
                <w:bCs/>
                <w:sz w:val="18"/>
                <w:szCs w:val="20"/>
              </w:rPr>
            </w:pPr>
            <w:r>
              <w:rPr>
                <w:bCs/>
                <w:sz w:val="18"/>
                <w:szCs w:val="20"/>
              </w:rPr>
              <w:t xml:space="preserve">Longan </w:t>
            </w:r>
          </w:p>
          <w:p w:rsidR="00902423" w:rsidRPr="00902423" w:rsidRDefault="00902423" w:rsidP="00902423">
            <w:pPr>
              <w:ind w:left="142" w:hanging="142"/>
              <w:rPr>
                <w:bCs/>
                <w:sz w:val="18"/>
                <w:szCs w:val="20"/>
              </w:rPr>
            </w:pPr>
            <w:r w:rsidRPr="00902423">
              <w:rPr>
                <w:bCs/>
                <w:sz w:val="18"/>
                <w:szCs w:val="20"/>
              </w:rPr>
              <w:t>Mango</w:t>
            </w:r>
          </w:p>
          <w:p w:rsidR="00902423" w:rsidRPr="00902423" w:rsidRDefault="00902423" w:rsidP="00902423">
            <w:pPr>
              <w:ind w:left="142" w:hanging="142"/>
              <w:rPr>
                <w:bCs/>
                <w:sz w:val="18"/>
                <w:szCs w:val="20"/>
              </w:rPr>
            </w:pPr>
            <w:r w:rsidRPr="00902423">
              <w:rPr>
                <w:bCs/>
                <w:sz w:val="18"/>
                <w:szCs w:val="20"/>
              </w:rPr>
              <w:t>Mangosteen</w:t>
            </w:r>
          </w:p>
          <w:p w:rsidR="00902423" w:rsidRPr="00902423" w:rsidRDefault="00902423" w:rsidP="00902423">
            <w:pPr>
              <w:ind w:left="142" w:hanging="142"/>
              <w:rPr>
                <w:bCs/>
                <w:sz w:val="18"/>
                <w:szCs w:val="20"/>
              </w:rPr>
            </w:pPr>
            <w:r w:rsidRPr="00902423">
              <w:rPr>
                <w:bCs/>
                <w:sz w:val="18"/>
                <w:szCs w:val="20"/>
              </w:rPr>
              <w:t>Nectarine</w:t>
            </w:r>
          </w:p>
          <w:p w:rsidR="00902423" w:rsidRPr="00902423" w:rsidRDefault="00902423" w:rsidP="00902423">
            <w:pPr>
              <w:ind w:left="142" w:hanging="142"/>
              <w:rPr>
                <w:bCs/>
                <w:sz w:val="18"/>
                <w:szCs w:val="20"/>
              </w:rPr>
            </w:pPr>
            <w:r w:rsidRPr="00902423">
              <w:rPr>
                <w:bCs/>
                <w:sz w:val="18"/>
                <w:szCs w:val="20"/>
              </w:rPr>
              <w:t>Papaya (Paw paw)</w:t>
            </w:r>
          </w:p>
          <w:p w:rsidR="00902423" w:rsidRPr="00902423" w:rsidRDefault="00902423" w:rsidP="00902423">
            <w:pPr>
              <w:ind w:left="142" w:hanging="142"/>
              <w:rPr>
                <w:bCs/>
                <w:sz w:val="18"/>
                <w:szCs w:val="20"/>
              </w:rPr>
            </w:pPr>
            <w:r w:rsidRPr="00902423">
              <w:rPr>
                <w:bCs/>
                <w:sz w:val="18"/>
                <w:szCs w:val="20"/>
              </w:rPr>
              <w:t>Peach</w:t>
            </w:r>
          </w:p>
          <w:p w:rsidR="00902423" w:rsidRPr="00902423" w:rsidRDefault="00902423" w:rsidP="00902423">
            <w:pPr>
              <w:ind w:left="142" w:hanging="142"/>
              <w:rPr>
                <w:bCs/>
                <w:sz w:val="18"/>
                <w:szCs w:val="20"/>
              </w:rPr>
            </w:pPr>
            <w:r w:rsidRPr="00902423">
              <w:rPr>
                <w:bCs/>
                <w:sz w:val="18"/>
                <w:szCs w:val="20"/>
              </w:rPr>
              <w:t>Persimmon</w:t>
            </w:r>
          </w:p>
          <w:p w:rsidR="00902423" w:rsidRPr="00902423" w:rsidRDefault="00902423" w:rsidP="00902423">
            <w:pPr>
              <w:ind w:left="142" w:hanging="142"/>
              <w:rPr>
                <w:bCs/>
                <w:sz w:val="18"/>
                <w:szCs w:val="20"/>
              </w:rPr>
            </w:pPr>
            <w:r w:rsidRPr="00902423">
              <w:rPr>
                <w:bCs/>
                <w:sz w:val="18"/>
                <w:szCs w:val="20"/>
              </w:rPr>
              <w:t>Plum</w:t>
            </w:r>
          </w:p>
          <w:p w:rsidR="00902423" w:rsidRPr="00902423" w:rsidRDefault="00902423" w:rsidP="00902423">
            <w:pPr>
              <w:ind w:left="142" w:hanging="142"/>
              <w:rPr>
                <w:bCs/>
                <w:sz w:val="18"/>
                <w:szCs w:val="20"/>
              </w:rPr>
            </w:pPr>
            <w:r w:rsidRPr="00902423">
              <w:rPr>
                <w:bCs/>
                <w:sz w:val="18"/>
                <w:szCs w:val="20"/>
              </w:rPr>
              <w:t>Rambutan</w:t>
            </w:r>
          </w:p>
          <w:p w:rsidR="00902423" w:rsidRPr="00902423" w:rsidRDefault="00902423" w:rsidP="00902423">
            <w:pPr>
              <w:ind w:left="142" w:hanging="142"/>
              <w:rPr>
                <w:bCs/>
                <w:sz w:val="18"/>
                <w:szCs w:val="20"/>
              </w:rPr>
            </w:pPr>
            <w:r w:rsidRPr="00902423">
              <w:rPr>
                <w:bCs/>
                <w:sz w:val="18"/>
                <w:szCs w:val="20"/>
              </w:rPr>
              <w:t>Rockmelon</w:t>
            </w:r>
          </w:p>
          <w:p w:rsidR="00902423" w:rsidRPr="00902423" w:rsidRDefault="00902423" w:rsidP="00902423">
            <w:pPr>
              <w:ind w:left="142" w:hanging="142"/>
              <w:rPr>
                <w:bCs/>
                <w:sz w:val="18"/>
                <w:szCs w:val="20"/>
              </w:rPr>
            </w:pPr>
            <w:r w:rsidRPr="00902423">
              <w:rPr>
                <w:bCs/>
                <w:sz w:val="18"/>
                <w:szCs w:val="20"/>
              </w:rPr>
              <w:t xml:space="preserve">Scallopini </w:t>
            </w:r>
          </w:p>
          <w:p w:rsidR="00902423" w:rsidRPr="00902423" w:rsidRDefault="00902423" w:rsidP="00902423">
            <w:pPr>
              <w:ind w:left="142" w:hanging="142"/>
              <w:rPr>
                <w:bCs/>
                <w:sz w:val="18"/>
                <w:szCs w:val="20"/>
              </w:rPr>
            </w:pPr>
            <w:r w:rsidRPr="00902423">
              <w:rPr>
                <w:bCs/>
                <w:sz w:val="18"/>
                <w:szCs w:val="20"/>
              </w:rPr>
              <w:t>Strawberry</w:t>
            </w:r>
          </w:p>
          <w:p w:rsidR="00902423" w:rsidRPr="00902423" w:rsidRDefault="00902423" w:rsidP="00902423">
            <w:pPr>
              <w:ind w:left="142" w:hanging="142"/>
              <w:rPr>
                <w:bCs/>
                <w:sz w:val="18"/>
                <w:szCs w:val="20"/>
              </w:rPr>
            </w:pPr>
            <w:r w:rsidRPr="00902423">
              <w:rPr>
                <w:bCs/>
                <w:sz w:val="18"/>
                <w:szCs w:val="20"/>
              </w:rPr>
              <w:t>Table Grape</w:t>
            </w:r>
          </w:p>
          <w:p w:rsidR="00902423" w:rsidRPr="00902423" w:rsidRDefault="00902423" w:rsidP="00902423">
            <w:pPr>
              <w:ind w:left="142" w:hanging="142"/>
              <w:rPr>
                <w:bCs/>
                <w:sz w:val="18"/>
                <w:szCs w:val="20"/>
              </w:rPr>
            </w:pPr>
            <w:r w:rsidRPr="00902423">
              <w:rPr>
                <w:bCs/>
                <w:sz w:val="18"/>
                <w:szCs w:val="20"/>
              </w:rPr>
              <w:t>Tomato</w:t>
            </w:r>
          </w:p>
          <w:p w:rsidR="00902423" w:rsidRPr="00902423" w:rsidRDefault="00902423" w:rsidP="00902423">
            <w:pPr>
              <w:ind w:left="142" w:hanging="142"/>
              <w:rPr>
                <w:bCs/>
                <w:sz w:val="18"/>
                <w:szCs w:val="20"/>
              </w:rPr>
            </w:pPr>
            <w:r w:rsidRPr="00902423">
              <w:rPr>
                <w:bCs/>
                <w:sz w:val="18"/>
                <w:szCs w:val="20"/>
              </w:rPr>
              <w:t>Zucchini (</w:t>
            </w:r>
            <w:r w:rsidR="0027508C">
              <w:rPr>
                <w:bCs/>
                <w:sz w:val="18"/>
                <w:szCs w:val="20"/>
              </w:rPr>
              <w:t>courgette</w:t>
            </w:r>
            <w:r w:rsidRPr="00902423">
              <w:rPr>
                <w:bCs/>
                <w:sz w:val="18"/>
                <w:szCs w:val="20"/>
              </w:rPr>
              <w:t>)</w:t>
            </w:r>
          </w:p>
        </w:tc>
        <w:tc>
          <w:tcPr>
            <w:tcW w:w="2000" w:type="dxa"/>
            <w:tcBorders>
              <w:top w:val="single" w:sz="6" w:space="0" w:color="auto"/>
              <w:left w:val="single" w:sz="6" w:space="0" w:color="auto"/>
              <w:bottom w:val="single" w:sz="6" w:space="0" w:color="auto"/>
              <w:right w:val="single" w:sz="6" w:space="0" w:color="auto"/>
            </w:tcBorders>
          </w:tcPr>
          <w:p w:rsidR="00902423" w:rsidRPr="00902423" w:rsidRDefault="00902423" w:rsidP="00902423">
            <w:pPr>
              <w:ind w:left="142" w:hanging="142"/>
              <w:rPr>
                <w:bCs/>
                <w:sz w:val="18"/>
                <w:szCs w:val="20"/>
              </w:rPr>
            </w:pPr>
            <w:r w:rsidRPr="00902423">
              <w:rPr>
                <w:bCs/>
                <w:sz w:val="18"/>
                <w:szCs w:val="20"/>
              </w:rPr>
              <w:t xml:space="preserve">Minimum: 150 Gy </w:t>
            </w:r>
          </w:p>
          <w:p w:rsidR="00902423" w:rsidRPr="00902423" w:rsidRDefault="00902423" w:rsidP="00902423">
            <w:pPr>
              <w:ind w:left="142" w:hanging="142"/>
              <w:rPr>
                <w:bCs/>
                <w:sz w:val="18"/>
                <w:szCs w:val="20"/>
              </w:rPr>
            </w:pPr>
            <w:r w:rsidRPr="00902423">
              <w:rPr>
                <w:bCs/>
                <w:sz w:val="18"/>
                <w:szCs w:val="20"/>
              </w:rPr>
              <w:t xml:space="preserve">Maximum: 1 kGy </w:t>
            </w:r>
          </w:p>
        </w:tc>
        <w:tc>
          <w:tcPr>
            <w:tcW w:w="3712" w:type="dxa"/>
            <w:tcBorders>
              <w:top w:val="single" w:sz="6" w:space="0" w:color="auto"/>
              <w:left w:val="single" w:sz="6" w:space="0" w:color="auto"/>
              <w:bottom w:val="single" w:sz="6" w:space="0" w:color="auto"/>
              <w:right w:val="single" w:sz="6" w:space="0" w:color="auto"/>
            </w:tcBorders>
          </w:tcPr>
          <w:p w:rsidR="00902423" w:rsidRPr="00902423" w:rsidRDefault="00902423" w:rsidP="00902423">
            <w:pPr>
              <w:ind w:left="142" w:hanging="142"/>
              <w:rPr>
                <w:bCs/>
                <w:sz w:val="18"/>
                <w:szCs w:val="20"/>
              </w:rPr>
            </w:pPr>
            <w:r w:rsidRPr="00902423">
              <w:rPr>
                <w:bCs/>
                <w:sz w:val="18"/>
                <w:szCs w:val="20"/>
              </w:rPr>
              <w:t>Pest disinfestation for a phytosanitary objective.</w:t>
            </w:r>
          </w:p>
          <w:p w:rsidR="00902423" w:rsidRPr="00902423" w:rsidRDefault="00902423" w:rsidP="00902423">
            <w:pPr>
              <w:ind w:left="142" w:hanging="142"/>
              <w:rPr>
                <w:bCs/>
                <w:sz w:val="18"/>
                <w:szCs w:val="20"/>
              </w:rPr>
            </w:pPr>
          </w:p>
          <w:p w:rsidR="00902423" w:rsidRPr="00902423" w:rsidRDefault="00902423" w:rsidP="00902423">
            <w:pPr>
              <w:ind w:left="142" w:hanging="142"/>
              <w:rPr>
                <w:bCs/>
                <w:sz w:val="18"/>
                <w:szCs w:val="20"/>
              </w:rPr>
            </w:pPr>
          </w:p>
        </w:tc>
      </w:tr>
    </w:tbl>
    <w:p w:rsidR="00724CB4" w:rsidRDefault="00902423" w:rsidP="00DF5EF5">
      <w:pPr>
        <w:tabs>
          <w:tab w:val="left" w:pos="851"/>
        </w:tabs>
        <w:jc w:val="right"/>
      </w:pPr>
      <w:r w:rsidRPr="00902423">
        <w:rPr>
          <w:sz w:val="18"/>
          <w:szCs w:val="18"/>
          <w:lang w:bidi="ar-SA"/>
        </w:rPr>
        <w:t>”</w:t>
      </w:r>
      <w:bookmarkStart w:id="104" w:name="_Toc300933454"/>
      <w:r w:rsidR="00724CB4">
        <w:br w:type="page"/>
      </w:r>
    </w:p>
    <w:p w:rsidR="00AF06FC" w:rsidRDefault="00AF06FC" w:rsidP="004646F8">
      <w:pPr>
        <w:pStyle w:val="Heading2"/>
      </w:pPr>
      <w:bookmarkStart w:id="105" w:name="_Toc396117795"/>
      <w:r w:rsidRPr="00932F14">
        <w:lastRenderedPageBreak/>
        <w:t xml:space="preserve">Attachment </w:t>
      </w:r>
      <w:r>
        <w:t>B – Draft Explanatory Statement</w:t>
      </w:r>
      <w:bookmarkEnd w:id="104"/>
      <w:bookmarkEnd w:id="105"/>
    </w:p>
    <w:p w:rsidR="00AF06FC" w:rsidRPr="000576EB" w:rsidRDefault="00AF06FC" w:rsidP="00AF06FC">
      <w:pPr>
        <w:rPr>
          <w:b/>
          <w:lang w:val="en-AU" w:eastAsia="en-GB" w:bidi="ar-SA"/>
        </w:rPr>
      </w:pPr>
      <w:r w:rsidRPr="000576EB">
        <w:rPr>
          <w:b/>
          <w:lang w:val="en-AU" w:eastAsia="en-GB" w:bidi="ar-SA"/>
        </w:rPr>
        <w:t>1.</w:t>
      </w:r>
      <w:r w:rsidRPr="000576EB">
        <w:rPr>
          <w:b/>
          <w:lang w:val="en-AU" w:eastAsia="en-GB" w:bidi="ar-SA"/>
        </w:rPr>
        <w:tab/>
        <w:t>Authority</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AF06FC" w:rsidRPr="00D13E34" w:rsidRDefault="00AF06FC" w:rsidP="00AF06FC">
      <w:pPr>
        <w:widowControl/>
        <w:autoSpaceDE w:val="0"/>
        <w:autoSpaceDN w:val="0"/>
        <w:adjustRightInd w:val="0"/>
        <w:rPr>
          <w:rFonts w:eastAsia="Calibri" w:cs="Arial"/>
          <w:bCs/>
          <w:szCs w:val="22"/>
          <w:lang w:val="en-AU" w:bidi="ar-SA"/>
        </w:rPr>
      </w:pPr>
    </w:p>
    <w:p w:rsidR="00862F4D" w:rsidRPr="00862F4D" w:rsidRDefault="00862F4D" w:rsidP="00862F4D">
      <w:pPr>
        <w:widowControl/>
        <w:autoSpaceDE w:val="0"/>
        <w:autoSpaceDN w:val="0"/>
        <w:adjustRightInd w:val="0"/>
        <w:rPr>
          <w:rFonts w:eastAsia="Calibri" w:cs="Arial"/>
          <w:bCs/>
          <w:szCs w:val="22"/>
          <w:lang w:bidi="ar-SA"/>
        </w:rPr>
      </w:pPr>
      <w:r w:rsidRPr="00862F4D">
        <w:rPr>
          <w:rFonts w:eastAsia="Calibri" w:cs="Arial"/>
          <w:bCs/>
          <w:szCs w:val="22"/>
          <w:lang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862F4D" w:rsidRPr="00862F4D" w:rsidRDefault="00862F4D" w:rsidP="00862F4D">
      <w:pPr>
        <w:widowControl/>
        <w:autoSpaceDE w:val="0"/>
        <w:autoSpaceDN w:val="0"/>
        <w:adjustRightInd w:val="0"/>
        <w:rPr>
          <w:rFonts w:eastAsia="Calibri" w:cs="Arial"/>
          <w:bCs/>
          <w:color w:val="FF0000"/>
          <w:szCs w:val="22"/>
          <w:lang w:bidi="ar-SA"/>
        </w:rPr>
      </w:pPr>
    </w:p>
    <w:p w:rsidR="00862F4D" w:rsidRPr="005A7510" w:rsidRDefault="00862F4D" w:rsidP="00AF06FC">
      <w:pPr>
        <w:widowControl/>
        <w:autoSpaceDE w:val="0"/>
        <w:autoSpaceDN w:val="0"/>
        <w:adjustRightInd w:val="0"/>
        <w:rPr>
          <w:rFonts w:eastAsia="Calibri" w:cs="Arial"/>
          <w:bCs/>
          <w:szCs w:val="22"/>
          <w:lang w:bidi="ar-SA"/>
        </w:rPr>
      </w:pPr>
      <w:r w:rsidRPr="00862F4D">
        <w:rPr>
          <w:rFonts w:eastAsia="Calibri" w:cs="Arial"/>
          <w:bCs/>
          <w:szCs w:val="22"/>
          <w:lang w:bidi="ar-SA"/>
        </w:rPr>
        <w:t>F</w:t>
      </w:r>
      <w:r w:rsidR="00E01025">
        <w:rPr>
          <w:rFonts w:eastAsia="Calibri" w:cs="Arial"/>
          <w:bCs/>
          <w:szCs w:val="22"/>
          <w:lang w:bidi="ar-SA"/>
        </w:rPr>
        <w:t xml:space="preserve">SANZ accepted Application A1092 </w:t>
      </w:r>
      <w:r w:rsidRPr="00862F4D">
        <w:rPr>
          <w:rFonts w:eastAsia="Calibri" w:cs="Arial"/>
          <w:bCs/>
          <w:szCs w:val="22"/>
          <w:lang w:bidi="ar-SA"/>
        </w:rPr>
        <w:t>which seeks to</w:t>
      </w:r>
      <w:r w:rsidRPr="00862F4D">
        <w:t xml:space="preserve"> permit the irradi</w:t>
      </w:r>
      <w:r w:rsidR="00E54195">
        <w:t xml:space="preserve">ation of fruits </w:t>
      </w:r>
      <w:r w:rsidR="00250C1C">
        <w:rPr>
          <w:rFonts w:cs="Arial"/>
        </w:rPr>
        <w:t>and vegetables</w:t>
      </w:r>
      <w:r w:rsidR="00250C1C" w:rsidRPr="00862F4D">
        <w:t xml:space="preserve"> </w:t>
      </w:r>
      <w:r w:rsidRPr="00862F4D">
        <w:t>as a phytosanitary measure</w:t>
      </w:r>
      <w:r w:rsidRPr="00862F4D">
        <w:rPr>
          <w:vertAlign w:val="superscript"/>
        </w:rPr>
        <w:footnoteReference w:id="11"/>
      </w:r>
      <w:r w:rsidRPr="00862F4D">
        <w:rPr>
          <w:rFonts w:eastAsia="Calibri" w:cs="Arial"/>
          <w:bCs/>
          <w:szCs w:val="22"/>
          <w:lang w:bidi="ar-SA"/>
        </w:rPr>
        <w:t xml:space="preserve">. The Authority considered the Application in accordance with Division 1 of Part 3 and has prepared a draft variation to Standard 1.5.3. </w:t>
      </w:r>
    </w:p>
    <w:p w:rsidR="00AF06FC" w:rsidRPr="00D13E34" w:rsidRDefault="00AF06FC" w:rsidP="00AF06FC">
      <w:pPr>
        <w:widowControl/>
        <w:autoSpaceDE w:val="0"/>
        <w:autoSpaceDN w:val="0"/>
        <w:adjustRightInd w:val="0"/>
        <w:rPr>
          <w:rFonts w:eastAsia="Calibri" w:cs="Arial"/>
          <w:bCs/>
          <w:szCs w:val="22"/>
          <w:lang w:val="en-AU" w:bidi="ar-SA"/>
        </w:rPr>
      </w:pPr>
    </w:p>
    <w:p w:rsidR="00AF06FC" w:rsidRDefault="006C28E2" w:rsidP="00AF06FC">
      <w:pPr>
        <w:rPr>
          <w:b/>
          <w:lang w:val="en-AU" w:eastAsia="en-GB" w:bidi="ar-SA"/>
        </w:rPr>
      </w:pPr>
      <w:r>
        <w:rPr>
          <w:b/>
          <w:lang w:val="en-AU" w:eastAsia="en-GB" w:bidi="ar-SA"/>
        </w:rPr>
        <w:t>2.</w:t>
      </w:r>
      <w:r>
        <w:rPr>
          <w:b/>
          <w:lang w:val="en-AU" w:eastAsia="en-GB" w:bidi="ar-SA"/>
        </w:rPr>
        <w:tab/>
        <w:t xml:space="preserve">Purpose </w:t>
      </w:r>
    </w:p>
    <w:p w:rsidR="00CB1375" w:rsidRDefault="00CB1375" w:rsidP="00AF06FC">
      <w:pPr>
        <w:rPr>
          <w:lang w:val="en-AU" w:eastAsia="en-GB" w:bidi="ar-SA"/>
        </w:rPr>
      </w:pPr>
    </w:p>
    <w:p w:rsidR="00862F4D" w:rsidRDefault="00862F4D" w:rsidP="00AF06FC">
      <w:pPr>
        <w:rPr>
          <w:lang w:val="en-AU" w:eastAsia="en-GB" w:bidi="ar-SA"/>
        </w:rPr>
      </w:pPr>
      <w:r>
        <w:rPr>
          <w:lang w:val="en-AU" w:eastAsia="en-GB" w:bidi="ar-SA"/>
        </w:rPr>
        <w:t>A</w:t>
      </w:r>
      <w:r w:rsidRPr="00862F4D">
        <w:rPr>
          <w:lang w:val="en-AU" w:eastAsia="en-GB" w:bidi="ar-SA"/>
        </w:rPr>
        <w:t>pple, apricot, cherry, nectarine, peach, plum, honeydew, rockmelon,</w:t>
      </w:r>
      <w:r w:rsidR="00F07F91">
        <w:rPr>
          <w:lang w:val="en-AU" w:eastAsia="en-GB" w:bidi="ar-SA"/>
        </w:rPr>
        <w:t xml:space="preserve"> </w:t>
      </w:r>
      <w:r w:rsidR="00F07F91" w:rsidRPr="0025791D">
        <w:rPr>
          <w:lang w:val="en-AU" w:eastAsia="en-GB" w:bidi="ar-SA"/>
        </w:rPr>
        <w:t>scaloppini</w:t>
      </w:r>
      <w:r w:rsidR="00F07F91">
        <w:rPr>
          <w:lang w:val="en-AU" w:eastAsia="en-GB" w:bidi="ar-SA"/>
        </w:rPr>
        <w:t xml:space="preserve">, </w:t>
      </w:r>
      <w:r w:rsidRPr="00862F4D">
        <w:rPr>
          <w:lang w:val="en-AU" w:eastAsia="en-GB" w:bidi="ar-SA"/>
        </w:rPr>
        <w:t xml:space="preserve">strawberry, table grape and </w:t>
      </w:r>
      <w:r w:rsidRPr="0025791D">
        <w:rPr>
          <w:lang w:val="en-AU" w:eastAsia="en-GB" w:bidi="ar-SA"/>
        </w:rPr>
        <w:t>zucchini</w:t>
      </w:r>
      <w:r w:rsidR="00862328" w:rsidRPr="0025791D">
        <w:rPr>
          <w:lang w:val="en-AU" w:eastAsia="en-GB" w:bidi="ar-SA"/>
        </w:rPr>
        <w:t xml:space="preserve"> (</w:t>
      </w:r>
      <w:r w:rsidR="0027508C">
        <w:rPr>
          <w:lang w:val="en-AU" w:eastAsia="en-GB" w:bidi="ar-SA"/>
        </w:rPr>
        <w:t>courgette</w:t>
      </w:r>
      <w:r w:rsidR="00862328" w:rsidRPr="0025791D">
        <w:rPr>
          <w:lang w:val="en-AU" w:eastAsia="en-GB" w:bidi="ar-SA"/>
        </w:rPr>
        <w:t xml:space="preserve">) </w:t>
      </w:r>
      <w:r w:rsidRPr="00862F4D">
        <w:rPr>
          <w:lang w:val="en-AU" w:eastAsia="en-GB" w:bidi="ar-SA"/>
        </w:rPr>
        <w:t xml:space="preserve">are currently not permitted to be irradiated in Standard 1.5.3. Therefore, FSANZ is proposing to vary Standard 1.5.3 by including </w:t>
      </w:r>
      <w:r w:rsidR="004E0CF4">
        <w:rPr>
          <w:lang w:val="en-AU" w:eastAsia="en-GB" w:bidi="ar-SA"/>
        </w:rPr>
        <w:t xml:space="preserve">these commodities </w:t>
      </w:r>
      <w:r w:rsidRPr="00862F4D">
        <w:rPr>
          <w:lang w:val="en-AU" w:eastAsia="en-GB" w:bidi="ar-SA"/>
        </w:rPr>
        <w:t>in the Table to clause 4 of Standard 1.5.3.</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rsidR="00AF06FC" w:rsidRDefault="00AF06FC" w:rsidP="00AF06FC">
      <w:pPr>
        <w:rPr>
          <w:lang w:val="en-AU" w:eastAsia="en-GB" w:bidi="ar-SA"/>
        </w:rPr>
      </w:pPr>
    </w:p>
    <w:p w:rsidR="001967B8" w:rsidRPr="001967B8" w:rsidRDefault="001967B8" w:rsidP="001967B8">
      <w:r w:rsidRPr="001967B8">
        <w:rPr>
          <w:szCs w:val="22"/>
        </w:rPr>
        <w:t>In accordance with the procedure in Division 1</w:t>
      </w:r>
      <w:r w:rsidRPr="001967B8">
        <w:rPr>
          <w:color w:val="FF0000"/>
          <w:szCs w:val="22"/>
        </w:rPr>
        <w:t xml:space="preserve"> </w:t>
      </w:r>
      <w:r w:rsidRPr="001967B8">
        <w:rPr>
          <w:szCs w:val="22"/>
        </w:rPr>
        <w:t>of Part 3</w:t>
      </w:r>
      <w:r w:rsidRPr="001967B8">
        <w:rPr>
          <w:color w:val="FF0000"/>
          <w:szCs w:val="22"/>
        </w:rPr>
        <w:t xml:space="preserve"> </w:t>
      </w:r>
      <w:r w:rsidRPr="001967B8">
        <w:rPr>
          <w:szCs w:val="22"/>
        </w:rPr>
        <w:t xml:space="preserve">of the FSANZ Act, </w:t>
      </w:r>
      <w:r w:rsidRPr="001967B8">
        <w:rPr>
          <w:rFonts w:eastAsia="Calibri" w:cs="Arial"/>
          <w:bCs/>
          <w:szCs w:val="22"/>
          <w:lang w:bidi="ar-SA"/>
        </w:rPr>
        <w:t>the Authority</w:t>
      </w:r>
      <w:r w:rsidRPr="001967B8">
        <w:rPr>
          <w:szCs w:val="22"/>
        </w:rPr>
        <w:t>’s consideration of Application</w:t>
      </w:r>
      <w:r w:rsidRPr="001967B8">
        <w:rPr>
          <w:color w:val="FF0000"/>
          <w:szCs w:val="22"/>
        </w:rPr>
        <w:t xml:space="preserve"> </w:t>
      </w:r>
      <w:r>
        <w:rPr>
          <w:szCs w:val="22"/>
        </w:rPr>
        <w:t>A1092</w:t>
      </w:r>
      <w:r w:rsidRPr="001967B8">
        <w:rPr>
          <w:szCs w:val="22"/>
        </w:rPr>
        <w:t xml:space="preserve"> will include one round of public consultation following an assessment and the preparation of a draft variation. A Call for Submissions (which includes the draft variation) will be released for a six-week consultation period. </w:t>
      </w:r>
    </w:p>
    <w:p w:rsidR="001967B8" w:rsidRPr="001967B8" w:rsidRDefault="001967B8" w:rsidP="001967B8"/>
    <w:p w:rsidR="001967B8" w:rsidRPr="001967B8" w:rsidRDefault="001967B8" w:rsidP="001967B8">
      <w:pPr>
        <w:widowControl/>
        <w:autoSpaceDE w:val="0"/>
        <w:autoSpaceDN w:val="0"/>
        <w:adjustRightInd w:val="0"/>
        <w:rPr>
          <w:rFonts w:cs="Arial"/>
          <w:szCs w:val="22"/>
        </w:rPr>
      </w:pPr>
      <w:r w:rsidRPr="001967B8">
        <w:rPr>
          <w:rFonts w:eastAsia="Calibri" w:cs="Arial"/>
          <w:bCs/>
          <w:szCs w:val="22"/>
          <w:lang w:bidi="ar-SA"/>
        </w:rPr>
        <w:t xml:space="preserve">A Regulation Impact Statement (RIS) was not required because the proposed variation to Standard 1.5.3 </w:t>
      </w:r>
      <w:r w:rsidRPr="001967B8">
        <w:t xml:space="preserve">is likely to have a minor impact on business and individuals and is deemed to be </w:t>
      </w:r>
      <w:r w:rsidR="00896DE2">
        <w:t>deregulatory in nature</w:t>
      </w:r>
      <w:r w:rsidRPr="001967B8">
        <w:t xml:space="preserve">. </w:t>
      </w:r>
    </w:p>
    <w:p w:rsidR="00553969" w:rsidRDefault="00553969" w:rsidP="00553969">
      <w:pPr>
        <w:widowControl/>
        <w:rPr>
          <w:rFonts w:eastAsiaTheme="minorHAnsi" w:cs="Arial"/>
          <w:b/>
          <w:bCs/>
          <w:szCs w:val="22"/>
          <w:lang w:val="en-AU" w:bidi="ar-SA"/>
        </w:rPr>
      </w:pPr>
    </w:p>
    <w:p w:rsidR="00553969" w:rsidRDefault="00553969" w:rsidP="0055396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553969" w:rsidRDefault="00553969" w:rsidP="00553969">
      <w:pPr>
        <w:rPr>
          <w:rFonts w:eastAsiaTheme="minorHAnsi"/>
          <w:lang w:val="en-AU" w:bidi="ar-SA"/>
        </w:rPr>
      </w:pPr>
    </w:p>
    <w:p w:rsidR="00553969" w:rsidRDefault="00553969" w:rsidP="005539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w:t>
      </w:r>
      <w:r w:rsidR="00447E67">
        <w:rPr>
          <w:rFonts w:eastAsiaTheme="minorHAnsi"/>
          <w:lang w:val="en-AU" w:bidi="ar-SA"/>
        </w:rPr>
        <w:t>4</w:t>
      </w:r>
      <w:r>
        <w:rPr>
          <w:rFonts w:eastAsiaTheme="minorHAnsi"/>
          <w:lang w:val="en-AU" w:bidi="ar-SA"/>
        </w:rPr>
        <w:t xml:space="preserve"> of the FSANZ Act.</w:t>
      </w:r>
    </w:p>
    <w:p w:rsidR="00553969" w:rsidRDefault="00553969" w:rsidP="00553969">
      <w:pPr>
        <w:rPr>
          <w:rFonts w:eastAsiaTheme="minorHAnsi"/>
          <w:lang w:val="en-AU" w:bidi="ar-SA"/>
        </w:rPr>
      </w:pPr>
    </w:p>
    <w:p w:rsidR="00700239" w:rsidRPr="00700239" w:rsidRDefault="00700239" w:rsidP="00700239">
      <w:pPr>
        <w:rPr>
          <w:b/>
          <w:lang w:val="en-AU" w:eastAsia="en-GB" w:bidi="ar-SA"/>
        </w:rPr>
      </w:pPr>
      <w:r w:rsidRPr="00700239">
        <w:rPr>
          <w:b/>
        </w:rPr>
        <w:t>6.</w:t>
      </w:r>
      <w:r w:rsidRPr="00700239">
        <w:rPr>
          <w:b/>
        </w:rPr>
        <w:tab/>
      </w:r>
      <w:r w:rsidRPr="00700239">
        <w:rPr>
          <w:b/>
          <w:lang w:val="en-AU" w:eastAsia="en-GB" w:bidi="ar-SA"/>
        </w:rPr>
        <w:t>Variation</w:t>
      </w:r>
      <w:r w:rsidR="00381C83">
        <w:rPr>
          <w:b/>
          <w:lang w:val="en-AU" w:eastAsia="en-GB" w:bidi="ar-SA"/>
        </w:rPr>
        <w:t>s</w:t>
      </w:r>
    </w:p>
    <w:p w:rsidR="00294BAD" w:rsidRPr="00AD344F" w:rsidRDefault="00294BAD" w:rsidP="00AF06FC">
      <w:pPr>
        <w:rPr>
          <w:b/>
        </w:rPr>
      </w:pPr>
    </w:p>
    <w:p w:rsidR="00E76DC9" w:rsidRDefault="00381C83" w:rsidP="007C174F">
      <w:r>
        <w:rPr>
          <w:lang w:eastAsia="en-GB" w:bidi="ar-SA"/>
        </w:rPr>
        <w:t>The variations permit</w:t>
      </w:r>
      <w:r w:rsidR="005A7510" w:rsidRPr="005A7510">
        <w:rPr>
          <w:lang w:eastAsia="en-GB" w:bidi="ar-SA"/>
        </w:rPr>
        <w:t xml:space="preserve"> the irradiation of </w:t>
      </w:r>
      <w:r w:rsidR="00933EA9">
        <w:rPr>
          <w:lang w:val="en-AU" w:eastAsia="en-GB" w:bidi="ar-SA"/>
        </w:rPr>
        <w:t>a</w:t>
      </w:r>
      <w:r w:rsidR="004E0CF4" w:rsidRPr="00862F4D">
        <w:rPr>
          <w:lang w:val="en-AU" w:eastAsia="en-GB" w:bidi="ar-SA"/>
        </w:rPr>
        <w:t>pple, apricot, cherry, nectarine, peach, plum, honeydew, rockmel</w:t>
      </w:r>
      <w:r w:rsidR="009312D9">
        <w:rPr>
          <w:lang w:val="en-AU" w:eastAsia="en-GB" w:bidi="ar-SA"/>
        </w:rPr>
        <w:t xml:space="preserve">on, </w:t>
      </w:r>
      <w:r w:rsidR="001E07CE" w:rsidRPr="0025791D">
        <w:rPr>
          <w:lang w:val="en-AU" w:eastAsia="en-GB" w:bidi="ar-SA"/>
        </w:rPr>
        <w:t>scal</w:t>
      </w:r>
      <w:r w:rsidR="001E07CE">
        <w:rPr>
          <w:lang w:val="en-AU" w:eastAsia="en-GB" w:bidi="ar-SA"/>
        </w:rPr>
        <w:t>o</w:t>
      </w:r>
      <w:r w:rsidR="001E07CE" w:rsidRPr="0025791D">
        <w:rPr>
          <w:lang w:val="en-AU" w:eastAsia="en-GB" w:bidi="ar-SA"/>
        </w:rPr>
        <w:t>ppini</w:t>
      </w:r>
      <w:r w:rsidR="00F07F91">
        <w:rPr>
          <w:lang w:val="en-AU" w:eastAsia="en-GB" w:bidi="ar-SA"/>
        </w:rPr>
        <w:t xml:space="preserve">, </w:t>
      </w:r>
      <w:r w:rsidR="009312D9">
        <w:rPr>
          <w:lang w:val="en-AU" w:eastAsia="en-GB" w:bidi="ar-SA"/>
        </w:rPr>
        <w:t xml:space="preserve">strawberry, table grape, </w:t>
      </w:r>
      <w:r w:rsidR="00021988" w:rsidRPr="0025791D">
        <w:rPr>
          <w:lang w:val="en-AU" w:eastAsia="en-GB" w:bidi="ar-SA"/>
        </w:rPr>
        <w:t>zucchini (</w:t>
      </w:r>
      <w:r w:rsidR="0027508C">
        <w:rPr>
          <w:lang w:val="en-AU" w:eastAsia="en-GB" w:bidi="ar-SA"/>
        </w:rPr>
        <w:t>courgette</w:t>
      </w:r>
      <w:r w:rsidR="00021988" w:rsidRPr="0025791D">
        <w:rPr>
          <w:lang w:val="en-AU" w:eastAsia="en-GB" w:bidi="ar-SA"/>
        </w:rPr>
        <w:t>)</w:t>
      </w:r>
      <w:r w:rsidR="005C7D00">
        <w:rPr>
          <w:lang w:val="en-AU" w:eastAsia="en-GB" w:bidi="ar-SA"/>
        </w:rPr>
        <w:t xml:space="preserve"> </w:t>
      </w:r>
      <w:r w:rsidR="005A7510" w:rsidRPr="0025791D">
        <w:rPr>
          <w:lang w:eastAsia="en-GB" w:bidi="ar-SA"/>
        </w:rPr>
        <w:t>b</w:t>
      </w:r>
      <w:r w:rsidR="004E0CF4" w:rsidRPr="0025791D">
        <w:rPr>
          <w:lang w:eastAsia="en-GB" w:bidi="ar-SA"/>
        </w:rPr>
        <w:t>y</w:t>
      </w:r>
      <w:r w:rsidR="004E0CF4">
        <w:rPr>
          <w:lang w:eastAsia="en-GB" w:bidi="ar-SA"/>
        </w:rPr>
        <w:t xml:space="preserve"> adding these commodities </w:t>
      </w:r>
      <w:r w:rsidR="005A7510" w:rsidRPr="005A7510">
        <w:rPr>
          <w:lang w:eastAsia="en-GB" w:bidi="ar-SA"/>
        </w:rPr>
        <w:t xml:space="preserve">to the Table to clause 4 in Standard 1.5.3 with </w:t>
      </w:r>
      <w:r w:rsidR="005A7510" w:rsidRPr="005A7510">
        <w:t>a minimum dose of 150 Gy and</w:t>
      </w:r>
      <w:r w:rsidR="005A7510">
        <w:t xml:space="preserve"> a maximum dose of 1 kGy.</w:t>
      </w:r>
    </w:p>
    <w:sectPr w:rsidR="00E76DC9" w:rsidSect="00A977F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675" w:rsidRDefault="00537675">
      <w:r>
        <w:separator/>
      </w:r>
    </w:p>
  </w:endnote>
  <w:endnote w:type="continuationSeparator" w:id="0">
    <w:p w:rsidR="00537675" w:rsidRDefault="0053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DC5" w:rsidRDefault="00C91D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04311"/>
      <w:docPartObj>
        <w:docPartGallery w:val="Page Numbers (Bottom of Page)"/>
        <w:docPartUnique/>
      </w:docPartObj>
    </w:sdtPr>
    <w:sdtEndPr>
      <w:rPr>
        <w:noProof/>
      </w:rPr>
    </w:sdtEndPr>
    <w:sdtContent>
      <w:p w:rsidR="00537675" w:rsidRPr="00537675" w:rsidRDefault="00537675" w:rsidP="00537675">
        <w:pPr>
          <w:pStyle w:val="Footer"/>
          <w:jc w:val="center"/>
        </w:pPr>
        <w:r>
          <w:fldChar w:fldCharType="begin"/>
        </w:r>
        <w:r>
          <w:instrText xml:space="preserve"> PAGE   \* MERGEFORMAT </w:instrText>
        </w:r>
        <w:r>
          <w:fldChar w:fldCharType="separate"/>
        </w:r>
        <w:r w:rsidR="00702EFF">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DC5" w:rsidRDefault="00C91D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675" w:rsidRDefault="00537675">
      <w:r>
        <w:separator/>
      </w:r>
    </w:p>
  </w:footnote>
  <w:footnote w:type="continuationSeparator" w:id="0">
    <w:p w:rsidR="00537675" w:rsidRDefault="00537675">
      <w:r>
        <w:continuationSeparator/>
      </w:r>
    </w:p>
  </w:footnote>
  <w:footnote w:id="1">
    <w:p w:rsidR="00537675" w:rsidRPr="00537675" w:rsidRDefault="00537675">
      <w:pPr>
        <w:pStyle w:val="FootnoteText"/>
        <w:rPr>
          <w:sz w:val="18"/>
          <w:lang w:val="en-AU"/>
        </w:rPr>
      </w:pPr>
      <w:r w:rsidRPr="00537675">
        <w:rPr>
          <w:rStyle w:val="FootnoteReference"/>
          <w:sz w:val="18"/>
        </w:rPr>
        <w:footnoteRef/>
      </w:r>
      <w:r w:rsidRPr="00537675">
        <w:rPr>
          <w:sz w:val="18"/>
        </w:rPr>
        <w:t xml:space="preserve"> </w:t>
      </w:r>
      <w:r w:rsidRPr="00537675">
        <w:rPr>
          <w:sz w:val="18"/>
          <w:lang w:val="en-AU"/>
        </w:rPr>
        <w:t xml:space="preserve">Scallopini and zucchini (courgette) are members of the summer squash family </w:t>
      </w:r>
    </w:p>
  </w:footnote>
  <w:footnote w:id="2">
    <w:p w:rsidR="00537675" w:rsidRPr="008979BB" w:rsidRDefault="00537675">
      <w:pPr>
        <w:pStyle w:val="FootnoteText"/>
        <w:rPr>
          <w:sz w:val="18"/>
          <w:szCs w:val="18"/>
          <w:lang w:val="en-AU"/>
        </w:rPr>
      </w:pPr>
      <w:r w:rsidRPr="008979BB">
        <w:rPr>
          <w:rStyle w:val="FootnoteReference"/>
          <w:sz w:val="18"/>
          <w:szCs w:val="18"/>
        </w:rPr>
        <w:footnoteRef/>
      </w:r>
      <w:r w:rsidRPr="008979BB">
        <w:rPr>
          <w:sz w:val="18"/>
          <w:szCs w:val="18"/>
        </w:rPr>
        <w:t xml:space="preserve"> A phytosanitary measure is any legislation, regulation or official procedure having the purpose to prevent the introduction and/or spread of quarantine pests, or to limit the economic impact of regulated non-quarantine pests.</w:t>
      </w:r>
    </w:p>
  </w:footnote>
  <w:footnote w:id="3">
    <w:p w:rsidR="00537675" w:rsidRPr="008979BB" w:rsidRDefault="00537675">
      <w:pPr>
        <w:pStyle w:val="FootnoteText"/>
        <w:rPr>
          <w:sz w:val="18"/>
          <w:szCs w:val="18"/>
          <w:lang w:val="en-AU"/>
        </w:rPr>
      </w:pPr>
      <w:r w:rsidRPr="008979BB">
        <w:rPr>
          <w:rStyle w:val="FootnoteReference"/>
          <w:sz w:val="18"/>
          <w:szCs w:val="18"/>
        </w:rPr>
        <w:footnoteRef/>
      </w:r>
      <w:r w:rsidRPr="008979BB">
        <w:rPr>
          <w:sz w:val="18"/>
          <w:szCs w:val="18"/>
        </w:rPr>
        <w:t xml:space="preserve"> T</w:t>
      </w:r>
      <w:r>
        <w:rPr>
          <w:sz w:val="18"/>
          <w:szCs w:val="18"/>
        </w:rPr>
        <w:t>he names zucchini and courgette</w:t>
      </w:r>
      <w:r w:rsidRPr="008979BB">
        <w:rPr>
          <w:sz w:val="18"/>
          <w:szCs w:val="18"/>
        </w:rPr>
        <w:t xml:space="preserve"> are used interchangeably</w:t>
      </w:r>
    </w:p>
  </w:footnote>
  <w:footnote w:id="4">
    <w:p w:rsidR="00537675" w:rsidRPr="00D071D3" w:rsidRDefault="00537675" w:rsidP="00CB127F">
      <w:pPr>
        <w:pStyle w:val="FootnoteText"/>
        <w:rPr>
          <w:sz w:val="18"/>
          <w:szCs w:val="18"/>
          <w:lang w:val="en-AU"/>
        </w:rPr>
      </w:pPr>
      <w:r w:rsidRPr="00D071D3">
        <w:rPr>
          <w:rStyle w:val="FootnoteReference"/>
          <w:sz w:val="18"/>
          <w:szCs w:val="18"/>
        </w:rPr>
        <w:footnoteRef/>
      </w:r>
      <w:r w:rsidRPr="00D071D3">
        <w:rPr>
          <w:sz w:val="18"/>
          <w:szCs w:val="18"/>
        </w:rPr>
        <w:t xml:space="preserve"> </w:t>
      </w:r>
      <w:proofErr w:type="gramStart"/>
      <w:r w:rsidRPr="00D071D3">
        <w:rPr>
          <w:sz w:val="18"/>
          <w:szCs w:val="18"/>
          <w:lang w:val="en-AU"/>
        </w:rPr>
        <w:t xml:space="preserve">Now known as the </w:t>
      </w:r>
      <w:r>
        <w:rPr>
          <w:sz w:val="18"/>
          <w:szCs w:val="18"/>
        </w:rPr>
        <w:t>Australia and New Zealand Ministerial Forum on Food Regulation (The Forum).</w:t>
      </w:r>
      <w:proofErr w:type="gramEnd"/>
      <w:r>
        <w:rPr>
          <w:sz w:val="18"/>
          <w:szCs w:val="18"/>
        </w:rPr>
        <w:t xml:space="preserve"> </w:t>
      </w:r>
    </w:p>
  </w:footnote>
  <w:footnote w:id="5">
    <w:p w:rsidR="00537675" w:rsidRPr="00092C38" w:rsidRDefault="00537675" w:rsidP="007139CC">
      <w:pPr>
        <w:pStyle w:val="FootnoteText"/>
        <w:rPr>
          <w:sz w:val="18"/>
          <w:szCs w:val="18"/>
          <w:lang w:val="en-AU"/>
        </w:rPr>
      </w:pPr>
      <w:r>
        <w:rPr>
          <w:rStyle w:val="FootnoteReference"/>
        </w:rPr>
        <w:footnoteRef/>
      </w:r>
      <w:r>
        <w:t xml:space="preserve"> </w:t>
      </w:r>
      <w:hyperlink r:id="rId1" w:history="1">
        <w:r w:rsidRPr="00092C38">
          <w:rPr>
            <w:rStyle w:val="Hyperlink"/>
            <w:sz w:val="18"/>
            <w:szCs w:val="18"/>
          </w:rPr>
          <w:t>http://www.foodstandards.gov.au/code/applications/Pages/applicationa443irradiationoftropicalfruit/Default.aspx</w:t>
        </w:r>
      </w:hyperlink>
    </w:p>
  </w:footnote>
  <w:footnote w:id="6">
    <w:p w:rsidR="00537675" w:rsidRPr="00092C38" w:rsidRDefault="00537675" w:rsidP="007139CC">
      <w:pPr>
        <w:pStyle w:val="FootnoteText"/>
        <w:rPr>
          <w:sz w:val="18"/>
          <w:szCs w:val="18"/>
          <w:lang w:val="en-AU"/>
        </w:rPr>
      </w:pPr>
      <w:r w:rsidRPr="00092C38">
        <w:rPr>
          <w:rStyle w:val="FootnoteReference"/>
          <w:sz w:val="18"/>
          <w:szCs w:val="18"/>
        </w:rPr>
        <w:footnoteRef/>
      </w:r>
      <w:r w:rsidRPr="00092C38">
        <w:rPr>
          <w:sz w:val="18"/>
          <w:szCs w:val="18"/>
        </w:rPr>
        <w:t xml:space="preserve"> </w:t>
      </w:r>
      <w:hyperlink r:id="rId2" w:history="1">
        <w:r w:rsidRPr="00092C38">
          <w:rPr>
            <w:rStyle w:val="Hyperlink"/>
            <w:sz w:val="18"/>
            <w:szCs w:val="18"/>
          </w:rPr>
          <w:t>http://www.foodstandards.gov.au/code/applications/Pages/applicationa1038irra4655.aspx</w:t>
        </w:r>
      </w:hyperlink>
    </w:p>
  </w:footnote>
  <w:footnote w:id="7">
    <w:p w:rsidR="00537675" w:rsidRPr="00092C38" w:rsidRDefault="00537675" w:rsidP="007139CC">
      <w:pPr>
        <w:pStyle w:val="FootnoteText"/>
        <w:rPr>
          <w:sz w:val="18"/>
          <w:szCs w:val="18"/>
          <w:lang w:val="en-AU"/>
        </w:rPr>
      </w:pPr>
      <w:r w:rsidRPr="00092C38">
        <w:rPr>
          <w:rStyle w:val="FootnoteReference"/>
          <w:sz w:val="18"/>
          <w:szCs w:val="18"/>
        </w:rPr>
        <w:footnoteRef/>
      </w:r>
      <w:r w:rsidRPr="00092C38">
        <w:rPr>
          <w:sz w:val="18"/>
          <w:szCs w:val="18"/>
        </w:rPr>
        <w:t xml:space="preserve"> </w:t>
      </w:r>
      <w:hyperlink r:id="rId3" w:history="1">
        <w:r w:rsidRPr="00092C38">
          <w:rPr>
            <w:rStyle w:val="Hyperlink"/>
            <w:sz w:val="18"/>
            <w:szCs w:val="18"/>
          </w:rPr>
          <w:t>http://www.foodstandards.gov.au/code/applications/Pages/applicationa1069irra5511.aspx</w:t>
        </w:r>
      </w:hyperlink>
    </w:p>
  </w:footnote>
  <w:footnote w:id="8">
    <w:p w:rsidR="00537675" w:rsidRPr="00092C38" w:rsidRDefault="00537675">
      <w:pPr>
        <w:pStyle w:val="FootnoteText"/>
        <w:rPr>
          <w:lang w:val="en-AU"/>
        </w:rPr>
      </w:pPr>
      <w:r w:rsidRPr="00092C38">
        <w:rPr>
          <w:rStyle w:val="FootnoteReference"/>
          <w:sz w:val="18"/>
          <w:szCs w:val="18"/>
        </w:rPr>
        <w:footnoteRef/>
      </w:r>
      <w:r w:rsidRPr="00092C38">
        <w:rPr>
          <w:sz w:val="18"/>
          <w:szCs w:val="18"/>
        </w:rPr>
        <w:t xml:space="preserve"> </w:t>
      </w:r>
      <w:hyperlink r:id="rId4" w:history="1">
        <w:r w:rsidRPr="001402AF">
          <w:rPr>
            <w:rStyle w:val="Hyperlink"/>
            <w:sz w:val="18"/>
            <w:szCs w:val="18"/>
          </w:rPr>
          <w:t>http://www.foodstandards.gov.au/publications/Pages/Nutritional-impact-of-phytosanitary-irradiation-of-fruits-and-vegetables.aspx</w:t>
        </w:r>
      </w:hyperlink>
    </w:p>
  </w:footnote>
  <w:footnote w:id="9">
    <w:p w:rsidR="00291224" w:rsidRPr="00291224" w:rsidRDefault="00291224" w:rsidP="00291224">
      <w:pPr>
        <w:pStyle w:val="Footnote"/>
        <w:rPr>
          <w:szCs w:val="18"/>
          <w:lang w:val="en-AU"/>
        </w:rPr>
      </w:pPr>
      <w:r w:rsidRPr="00291224">
        <w:rPr>
          <w:rStyle w:val="FootnoteReference"/>
          <w:szCs w:val="18"/>
        </w:rPr>
        <w:footnoteRef/>
      </w:r>
      <w:r w:rsidRPr="00291224">
        <w:rPr>
          <w:szCs w:val="18"/>
        </w:rPr>
        <w:t xml:space="preserve"> </w:t>
      </w:r>
      <w:r w:rsidRPr="00291224">
        <w:rPr>
          <w:szCs w:val="18"/>
          <w:lang w:val="en-AU"/>
        </w:rPr>
        <w:t>Now known as the</w:t>
      </w:r>
      <w:r w:rsidRPr="00291224">
        <w:rPr>
          <w:rFonts w:cs="Helvetica"/>
          <w:szCs w:val="18"/>
          <w:lang w:val="en-AU"/>
        </w:rPr>
        <w:t xml:space="preserve"> Australia and New Zealand Ministerial Forum on Food Regulation (convening as the Australia and New Zealand Food Regulation Ministerial Council)</w:t>
      </w:r>
    </w:p>
  </w:footnote>
  <w:footnote w:id="10">
    <w:p w:rsidR="00537675" w:rsidRPr="00E24DE8" w:rsidRDefault="00537675" w:rsidP="00265DFF">
      <w:pPr>
        <w:pStyle w:val="FootnoteText"/>
        <w:rPr>
          <w:lang w:val="en-AU"/>
        </w:rPr>
      </w:pPr>
      <w:r w:rsidRPr="00291224">
        <w:rPr>
          <w:rStyle w:val="FootnoteReference"/>
          <w:sz w:val="18"/>
          <w:szCs w:val="18"/>
        </w:rPr>
        <w:footnoteRef/>
      </w:r>
      <w:r w:rsidRPr="00291224">
        <w:rPr>
          <w:sz w:val="18"/>
          <w:szCs w:val="18"/>
        </w:rPr>
        <w:t xml:space="preserve"> </w:t>
      </w:r>
      <w:hyperlink r:id="rId5" w:history="1">
        <w:r w:rsidRPr="00291224">
          <w:rPr>
            <w:rStyle w:val="Hyperlink"/>
            <w:sz w:val="18"/>
            <w:szCs w:val="18"/>
          </w:rPr>
          <w:t>http://www.foodstandards.gov.au/code/proposals/Pages/proposalp1025coderev5755.aspx</w:t>
        </w:r>
      </w:hyperlink>
      <w:r w:rsidRPr="00291224">
        <w:rPr>
          <w:sz w:val="18"/>
          <w:szCs w:val="18"/>
        </w:rPr>
        <w:t xml:space="preserve"> </w:t>
      </w:r>
    </w:p>
  </w:footnote>
  <w:footnote w:id="11">
    <w:p w:rsidR="00537675" w:rsidRPr="00A011A2" w:rsidRDefault="00537675" w:rsidP="00862F4D">
      <w:pPr>
        <w:pStyle w:val="FootnoteText"/>
        <w:rPr>
          <w:sz w:val="18"/>
          <w:szCs w:val="18"/>
        </w:rPr>
      </w:pPr>
      <w:r w:rsidRPr="00A011A2">
        <w:rPr>
          <w:rStyle w:val="FootnoteReference"/>
          <w:sz w:val="18"/>
          <w:szCs w:val="18"/>
        </w:rPr>
        <w:footnoteRef/>
      </w:r>
      <w:r w:rsidRPr="00A011A2">
        <w:rPr>
          <w:sz w:val="18"/>
          <w:szCs w:val="18"/>
        </w:rPr>
        <w:t xml:space="preserve"> A phytosanitary measure is any legislation, regulation or official procedure having the purpose to prevent the introduction and/or spread of quarantine pests, or to limit the economic impact of regulated non-quarantine pests.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DC5" w:rsidRDefault="00C91D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DC5" w:rsidRDefault="00C91D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DC5" w:rsidRDefault="00C91D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120D9"/>
    <w:rsid w:val="000131E7"/>
    <w:rsid w:val="00016CB6"/>
    <w:rsid w:val="00021988"/>
    <w:rsid w:val="00022DBC"/>
    <w:rsid w:val="0002387F"/>
    <w:rsid w:val="00026C80"/>
    <w:rsid w:val="00032DB0"/>
    <w:rsid w:val="00034F87"/>
    <w:rsid w:val="00035FF3"/>
    <w:rsid w:val="00042468"/>
    <w:rsid w:val="000427B2"/>
    <w:rsid w:val="00042DC1"/>
    <w:rsid w:val="000458FB"/>
    <w:rsid w:val="00051021"/>
    <w:rsid w:val="00051ED9"/>
    <w:rsid w:val="00057181"/>
    <w:rsid w:val="000646D1"/>
    <w:rsid w:val="000647BA"/>
    <w:rsid w:val="00064B2D"/>
    <w:rsid w:val="00065F1F"/>
    <w:rsid w:val="0007466A"/>
    <w:rsid w:val="0007614A"/>
    <w:rsid w:val="00076D33"/>
    <w:rsid w:val="000778D6"/>
    <w:rsid w:val="00080BAF"/>
    <w:rsid w:val="00084E25"/>
    <w:rsid w:val="00086DD0"/>
    <w:rsid w:val="00090C12"/>
    <w:rsid w:val="00091CC2"/>
    <w:rsid w:val="00092BE2"/>
    <w:rsid w:val="00092C38"/>
    <w:rsid w:val="000A27E9"/>
    <w:rsid w:val="000A3D8B"/>
    <w:rsid w:val="000A5DF8"/>
    <w:rsid w:val="000A7C82"/>
    <w:rsid w:val="000B5112"/>
    <w:rsid w:val="000B6AF2"/>
    <w:rsid w:val="000B76FC"/>
    <w:rsid w:val="000D295F"/>
    <w:rsid w:val="000D6FD4"/>
    <w:rsid w:val="000D723C"/>
    <w:rsid w:val="000E0AE4"/>
    <w:rsid w:val="000E3DBC"/>
    <w:rsid w:val="000F5A68"/>
    <w:rsid w:val="00106718"/>
    <w:rsid w:val="00113CE3"/>
    <w:rsid w:val="001161E2"/>
    <w:rsid w:val="00117522"/>
    <w:rsid w:val="0012328F"/>
    <w:rsid w:val="00124960"/>
    <w:rsid w:val="00125179"/>
    <w:rsid w:val="001259B6"/>
    <w:rsid w:val="0013455B"/>
    <w:rsid w:val="00146773"/>
    <w:rsid w:val="001520E7"/>
    <w:rsid w:val="001542D8"/>
    <w:rsid w:val="00164264"/>
    <w:rsid w:val="00171830"/>
    <w:rsid w:val="0017582C"/>
    <w:rsid w:val="00177314"/>
    <w:rsid w:val="00180C41"/>
    <w:rsid w:val="00181831"/>
    <w:rsid w:val="00182C4C"/>
    <w:rsid w:val="0018481E"/>
    <w:rsid w:val="00185F1E"/>
    <w:rsid w:val="00195209"/>
    <w:rsid w:val="001967B8"/>
    <w:rsid w:val="00197D8D"/>
    <w:rsid w:val="001A1A75"/>
    <w:rsid w:val="001A7E9A"/>
    <w:rsid w:val="001B0B76"/>
    <w:rsid w:val="001C27A3"/>
    <w:rsid w:val="001C282C"/>
    <w:rsid w:val="001C3D2F"/>
    <w:rsid w:val="001C5295"/>
    <w:rsid w:val="001D3FBB"/>
    <w:rsid w:val="001E07CE"/>
    <w:rsid w:val="001E09FA"/>
    <w:rsid w:val="001F5B9C"/>
    <w:rsid w:val="001F74B2"/>
    <w:rsid w:val="00203540"/>
    <w:rsid w:val="00211E29"/>
    <w:rsid w:val="00212EB3"/>
    <w:rsid w:val="002162F5"/>
    <w:rsid w:val="00221D07"/>
    <w:rsid w:val="00221E92"/>
    <w:rsid w:val="002223A4"/>
    <w:rsid w:val="00222B05"/>
    <w:rsid w:val="00225C6B"/>
    <w:rsid w:val="00227E4A"/>
    <w:rsid w:val="00237490"/>
    <w:rsid w:val="002423B8"/>
    <w:rsid w:val="002432EE"/>
    <w:rsid w:val="00244EF4"/>
    <w:rsid w:val="0024582E"/>
    <w:rsid w:val="00250C1C"/>
    <w:rsid w:val="002547EF"/>
    <w:rsid w:val="0025494C"/>
    <w:rsid w:val="00256D65"/>
    <w:rsid w:val="00257914"/>
    <w:rsid w:val="0025791D"/>
    <w:rsid w:val="00263766"/>
    <w:rsid w:val="00265DFF"/>
    <w:rsid w:val="00271F00"/>
    <w:rsid w:val="00273A80"/>
    <w:rsid w:val="0027508C"/>
    <w:rsid w:val="0027513D"/>
    <w:rsid w:val="00276026"/>
    <w:rsid w:val="00277142"/>
    <w:rsid w:val="00277269"/>
    <w:rsid w:val="002851C8"/>
    <w:rsid w:val="0028699D"/>
    <w:rsid w:val="00286DB9"/>
    <w:rsid w:val="00287020"/>
    <w:rsid w:val="00290D5A"/>
    <w:rsid w:val="00291224"/>
    <w:rsid w:val="0029204E"/>
    <w:rsid w:val="00294BAD"/>
    <w:rsid w:val="00295969"/>
    <w:rsid w:val="0029631C"/>
    <w:rsid w:val="002976FD"/>
    <w:rsid w:val="002A0194"/>
    <w:rsid w:val="002A5F8B"/>
    <w:rsid w:val="002A7F6C"/>
    <w:rsid w:val="002B0D8E"/>
    <w:rsid w:val="002B131C"/>
    <w:rsid w:val="002B37EC"/>
    <w:rsid w:val="002D3535"/>
    <w:rsid w:val="002D60C9"/>
    <w:rsid w:val="002D6809"/>
    <w:rsid w:val="002E086A"/>
    <w:rsid w:val="002F6488"/>
    <w:rsid w:val="0030524A"/>
    <w:rsid w:val="00310E84"/>
    <w:rsid w:val="003113E4"/>
    <w:rsid w:val="00311A0C"/>
    <w:rsid w:val="00315A71"/>
    <w:rsid w:val="003213F9"/>
    <w:rsid w:val="00323DBF"/>
    <w:rsid w:val="00325D27"/>
    <w:rsid w:val="003275BC"/>
    <w:rsid w:val="003309A8"/>
    <w:rsid w:val="00332B12"/>
    <w:rsid w:val="00336711"/>
    <w:rsid w:val="00340849"/>
    <w:rsid w:val="00345EF1"/>
    <w:rsid w:val="0034715E"/>
    <w:rsid w:val="00347935"/>
    <w:rsid w:val="00350DBD"/>
    <w:rsid w:val="00351927"/>
    <w:rsid w:val="00351B07"/>
    <w:rsid w:val="0035451F"/>
    <w:rsid w:val="00355D47"/>
    <w:rsid w:val="003614B2"/>
    <w:rsid w:val="0036268A"/>
    <w:rsid w:val="00364841"/>
    <w:rsid w:val="00371B29"/>
    <w:rsid w:val="00372182"/>
    <w:rsid w:val="0037520F"/>
    <w:rsid w:val="00377CC2"/>
    <w:rsid w:val="00381C83"/>
    <w:rsid w:val="00391769"/>
    <w:rsid w:val="003953E1"/>
    <w:rsid w:val="003956B3"/>
    <w:rsid w:val="003A68BE"/>
    <w:rsid w:val="003A7725"/>
    <w:rsid w:val="003B0F43"/>
    <w:rsid w:val="003B2C3C"/>
    <w:rsid w:val="003B3C9D"/>
    <w:rsid w:val="003B4EC6"/>
    <w:rsid w:val="003B78E0"/>
    <w:rsid w:val="003C4969"/>
    <w:rsid w:val="003C6409"/>
    <w:rsid w:val="003D3D5A"/>
    <w:rsid w:val="003D57D9"/>
    <w:rsid w:val="003E41D5"/>
    <w:rsid w:val="003E46BA"/>
    <w:rsid w:val="003E7D22"/>
    <w:rsid w:val="003E7F30"/>
    <w:rsid w:val="003F08E7"/>
    <w:rsid w:val="003F5772"/>
    <w:rsid w:val="003F74C1"/>
    <w:rsid w:val="00405B1A"/>
    <w:rsid w:val="00407241"/>
    <w:rsid w:val="0040761E"/>
    <w:rsid w:val="00410C76"/>
    <w:rsid w:val="00411907"/>
    <w:rsid w:val="00411D61"/>
    <w:rsid w:val="00413CA8"/>
    <w:rsid w:val="00417EE3"/>
    <w:rsid w:val="004207EB"/>
    <w:rsid w:val="00423F20"/>
    <w:rsid w:val="0042531B"/>
    <w:rsid w:val="00435FA5"/>
    <w:rsid w:val="00436B8D"/>
    <w:rsid w:val="00437276"/>
    <w:rsid w:val="00441235"/>
    <w:rsid w:val="004419FB"/>
    <w:rsid w:val="00447E67"/>
    <w:rsid w:val="004506EB"/>
    <w:rsid w:val="00450DE4"/>
    <w:rsid w:val="00451F77"/>
    <w:rsid w:val="0045514D"/>
    <w:rsid w:val="0045556F"/>
    <w:rsid w:val="00456B54"/>
    <w:rsid w:val="004602B9"/>
    <w:rsid w:val="00464643"/>
    <w:rsid w:val="004646F8"/>
    <w:rsid w:val="004655DB"/>
    <w:rsid w:val="00470D52"/>
    <w:rsid w:val="00480BA9"/>
    <w:rsid w:val="00486793"/>
    <w:rsid w:val="0049151F"/>
    <w:rsid w:val="00491D18"/>
    <w:rsid w:val="00495163"/>
    <w:rsid w:val="004A2037"/>
    <w:rsid w:val="004A3685"/>
    <w:rsid w:val="004A4B7A"/>
    <w:rsid w:val="004A4FDA"/>
    <w:rsid w:val="004B2414"/>
    <w:rsid w:val="004B2891"/>
    <w:rsid w:val="004C2CE7"/>
    <w:rsid w:val="004D30A6"/>
    <w:rsid w:val="004E0CF4"/>
    <w:rsid w:val="004E2EC6"/>
    <w:rsid w:val="004F4F98"/>
    <w:rsid w:val="004F69F6"/>
    <w:rsid w:val="004F79AC"/>
    <w:rsid w:val="0050016C"/>
    <w:rsid w:val="00500A59"/>
    <w:rsid w:val="005017CF"/>
    <w:rsid w:val="0050699D"/>
    <w:rsid w:val="00512290"/>
    <w:rsid w:val="005207D8"/>
    <w:rsid w:val="00521F70"/>
    <w:rsid w:val="0053464E"/>
    <w:rsid w:val="00534F83"/>
    <w:rsid w:val="00535011"/>
    <w:rsid w:val="00535599"/>
    <w:rsid w:val="005357DA"/>
    <w:rsid w:val="00537675"/>
    <w:rsid w:val="00547E13"/>
    <w:rsid w:val="0055013F"/>
    <w:rsid w:val="00553969"/>
    <w:rsid w:val="00562917"/>
    <w:rsid w:val="00574F0D"/>
    <w:rsid w:val="0057599D"/>
    <w:rsid w:val="00582C82"/>
    <w:rsid w:val="00584DB7"/>
    <w:rsid w:val="00586228"/>
    <w:rsid w:val="005863FF"/>
    <w:rsid w:val="00592DCB"/>
    <w:rsid w:val="005940E0"/>
    <w:rsid w:val="0059498B"/>
    <w:rsid w:val="00594AE7"/>
    <w:rsid w:val="005A15A6"/>
    <w:rsid w:val="005A2F07"/>
    <w:rsid w:val="005A3A03"/>
    <w:rsid w:val="005A4279"/>
    <w:rsid w:val="005A7510"/>
    <w:rsid w:val="005B615C"/>
    <w:rsid w:val="005B6AF4"/>
    <w:rsid w:val="005C04CB"/>
    <w:rsid w:val="005C39A2"/>
    <w:rsid w:val="005C71BA"/>
    <w:rsid w:val="005C7D00"/>
    <w:rsid w:val="005D16AD"/>
    <w:rsid w:val="005D72E1"/>
    <w:rsid w:val="005E3D35"/>
    <w:rsid w:val="005E3F25"/>
    <w:rsid w:val="005E605A"/>
    <w:rsid w:val="005E6E16"/>
    <w:rsid w:val="005F1A69"/>
    <w:rsid w:val="005F2E62"/>
    <w:rsid w:val="005F400E"/>
    <w:rsid w:val="005F7342"/>
    <w:rsid w:val="005F7BEA"/>
    <w:rsid w:val="00603A08"/>
    <w:rsid w:val="00606C88"/>
    <w:rsid w:val="00610A3C"/>
    <w:rsid w:val="00612081"/>
    <w:rsid w:val="00625EC7"/>
    <w:rsid w:val="00627F48"/>
    <w:rsid w:val="00633ACA"/>
    <w:rsid w:val="006342E0"/>
    <w:rsid w:val="0064263A"/>
    <w:rsid w:val="00642A47"/>
    <w:rsid w:val="00644937"/>
    <w:rsid w:val="00646FDD"/>
    <w:rsid w:val="00656968"/>
    <w:rsid w:val="00660FBE"/>
    <w:rsid w:val="0066178E"/>
    <w:rsid w:val="00663FCF"/>
    <w:rsid w:val="006652A2"/>
    <w:rsid w:val="006724FB"/>
    <w:rsid w:val="00681754"/>
    <w:rsid w:val="00682D4D"/>
    <w:rsid w:val="00683DCD"/>
    <w:rsid w:val="006937FF"/>
    <w:rsid w:val="006965BF"/>
    <w:rsid w:val="0069688C"/>
    <w:rsid w:val="006A3CED"/>
    <w:rsid w:val="006A48A7"/>
    <w:rsid w:val="006A6867"/>
    <w:rsid w:val="006B3ADA"/>
    <w:rsid w:val="006B4BA1"/>
    <w:rsid w:val="006C1226"/>
    <w:rsid w:val="006C28E2"/>
    <w:rsid w:val="006C46A8"/>
    <w:rsid w:val="006C5CF5"/>
    <w:rsid w:val="006D0CC4"/>
    <w:rsid w:val="006D4C04"/>
    <w:rsid w:val="006E3ADC"/>
    <w:rsid w:val="006E6946"/>
    <w:rsid w:val="006E6CA2"/>
    <w:rsid w:val="006F4A82"/>
    <w:rsid w:val="0070019E"/>
    <w:rsid w:val="00700239"/>
    <w:rsid w:val="00700DA3"/>
    <w:rsid w:val="00701FD4"/>
    <w:rsid w:val="00702EFF"/>
    <w:rsid w:val="0070373B"/>
    <w:rsid w:val="00703B9A"/>
    <w:rsid w:val="007063BE"/>
    <w:rsid w:val="00707E72"/>
    <w:rsid w:val="007113EB"/>
    <w:rsid w:val="00713850"/>
    <w:rsid w:val="007139CC"/>
    <w:rsid w:val="0071510C"/>
    <w:rsid w:val="007202A5"/>
    <w:rsid w:val="0072150F"/>
    <w:rsid w:val="00724CB4"/>
    <w:rsid w:val="00724FA4"/>
    <w:rsid w:val="00726C2F"/>
    <w:rsid w:val="00730800"/>
    <w:rsid w:val="00730D51"/>
    <w:rsid w:val="00734DD4"/>
    <w:rsid w:val="007352A8"/>
    <w:rsid w:val="00737902"/>
    <w:rsid w:val="00741EFE"/>
    <w:rsid w:val="00750E81"/>
    <w:rsid w:val="007602AA"/>
    <w:rsid w:val="007652EF"/>
    <w:rsid w:val="00772BDC"/>
    <w:rsid w:val="0077727B"/>
    <w:rsid w:val="00777781"/>
    <w:rsid w:val="00780792"/>
    <w:rsid w:val="00783D6B"/>
    <w:rsid w:val="00786E53"/>
    <w:rsid w:val="00787C0D"/>
    <w:rsid w:val="00790747"/>
    <w:rsid w:val="007945B4"/>
    <w:rsid w:val="007A0A1D"/>
    <w:rsid w:val="007A4311"/>
    <w:rsid w:val="007A44B4"/>
    <w:rsid w:val="007A7D3D"/>
    <w:rsid w:val="007B225D"/>
    <w:rsid w:val="007C14FF"/>
    <w:rsid w:val="007C174F"/>
    <w:rsid w:val="007C1C64"/>
    <w:rsid w:val="007C7D86"/>
    <w:rsid w:val="007D40A1"/>
    <w:rsid w:val="007E0F8D"/>
    <w:rsid w:val="007E1905"/>
    <w:rsid w:val="007E48BC"/>
    <w:rsid w:val="007E6745"/>
    <w:rsid w:val="007E79F7"/>
    <w:rsid w:val="007F3630"/>
    <w:rsid w:val="00804D87"/>
    <w:rsid w:val="0080639B"/>
    <w:rsid w:val="00807559"/>
    <w:rsid w:val="008157EC"/>
    <w:rsid w:val="00816178"/>
    <w:rsid w:val="00822858"/>
    <w:rsid w:val="00822D07"/>
    <w:rsid w:val="00825B21"/>
    <w:rsid w:val="00831E07"/>
    <w:rsid w:val="00831F99"/>
    <w:rsid w:val="008450BC"/>
    <w:rsid w:val="00845AFC"/>
    <w:rsid w:val="00851A60"/>
    <w:rsid w:val="0085334B"/>
    <w:rsid w:val="00855ED9"/>
    <w:rsid w:val="0086221B"/>
    <w:rsid w:val="00862328"/>
    <w:rsid w:val="00862F4D"/>
    <w:rsid w:val="00867B23"/>
    <w:rsid w:val="00870214"/>
    <w:rsid w:val="00872883"/>
    <w:rsid w:val="00876515"/>
    <w:rsid w:val="00876E30"/>
    <w:rsid w:val="008779DA"/>
    <w:rsid w:val="00877D2B"/>
    <w:rsid w:val="008828D9"/>
    <w:rsid w:val="00885C51"/>
    <w:rsid w:val="00885EB0"/>
    <w:rsid w:val="0088656A"/>
    <w:rsid w:val="008917B3"/>
    <w:rsid w:val="0089264A"/>
    <w:rsid w:val="008936DE"/>
    <w:rsid w:val="00893784"/>
    <w:rsid w:val="008958D2"/>
    <w:rsid w:val="00895C3C"/>
    <w:rsid w:val="00896B85"/>
    <w:rsid w:val="00896DE2"/>
    <w:rsid w:val="008979BB"/>
    <w:rsid w:val="008A22BE"/>
    <w:rsid w:val="008A3221"/>
    <w:rsid w:val="008A35FB"/>
    <w:rsid w:val="008A3B61"/>
    <w:rsid w:val="008A3CB4"/>
    <w:rsid w:val="008A55C7"/>
    <w:rsid w:val="008B0075"/>
    <w:rsid w:val="008B51E4"/>
    <w:rsid w:val="008B7E32"/>
    <w:rsid w:val="008C1B36"/>
    <w:rsid w:val="008D06C6"/>
    <w:rsid w:val="008D71CF"/>
    <w:rsid w:val="008E4CFB"/>
    <w:rsid w:val="008E6250"/>
    <w:rsid w:val="008F0453"/>
    <w:rsid w:val="008F67A9"/>
    <w:rsid w:val="00902423"/>
    <w:rsid w:val="00902AF6"/>
    <w:rsid w:val="0090519C"/>
    <w:rsid w:val="00913498"/>
    <w:rsid w:val="00914030"/>
    <w:rsid w:val="0091744D"/>
    <w:rsid w:val="00920249"/>
    <w:rsid w:val="00923418"/>
    <w:rsid w:val="009236E5"/>
    <w:rsid w:val="00924C80"/>
    <w:rsid w:val="009252D1"/>
    <w:rsid w:val="009312D9"/>
    <w:rsid w:val="00931816"/>
    <w:rsid w:val="00932F14"/>
    <w:rsid w:val="00933EA9"/>
    <w:rsid w:val="009341EC"/>
    <w:rsid w:val="0094247F"/>
    <w:rsid w:val="00942D60"/>
    <w:rsid w:val="00944BA4"/>
    <w:rsid w:val="0095407F"/>
    <w:rsid w:val="009606ED"/>
    <w:rsid w:val="00961C6D"/>
    <w:rsid w:val="00965053"/>
    <w:rsid w:val="0096523B"/>
    <w:rsid w:val="00965780"/>
    <w:rsid w:val="00966EE3"/>
    <w:rsid w:val="00972243"/>
    <w:rsid w:val="00972BD5"/>
    <w:rsid w:val="00972D06"/>
    <w:rsid w:val="00977827"/>
    <w:rsid w:val="00986E92"/>
    <w:rsid w:val="00993398"/>
    <w:rsid w:val="009A391C"/>
    <w:rsid w:val="009A50F2"/>
    <w:rsid w:val="009C0114"/>
    <w:rsid w:val="009C4322"/>
    <w:rsid w:val="009C4D57"/>
    <w:rsid w:val="009D790B"/>
    <w:rsid w:val="009E0A61"/>
    <w:rsid w:val="009E3010"/>
    <w:rsid w:val="009F007E"/>
    <w:rsid w:val="009F39F0"/>
    <w:rsid w:val="009F43E9"/>
    <w:rsid w:val="009F67B9"/>
    <w:rsid w:val="009F7065"/>
    <w:rsid w:val="00A00325"/>
    <w:rsid w:val="00A02E7A"/>
    <w:rsid w:val="00A061BB"/>
    <w:rsid w:val="00A06770"/>
    <w:rsid w:val="00A10812"/>
    <w:rsid w:val="00A12B44"/>
    <w:rsid w:val="00A13B3F"/>
    <w:rsid w:val="00A13EFD"/>
    <w:rsid w:val="00A20765"/>
    <w:rsid w:val="00A207A5"/>
    <w:rsid w:val="00A2769A"/>
    <w:rsid w:val="00A40193"/>
    <w:rsid w:val="00A4175D"/>
    <w:rsid w:val="00A54934"/>
    <w:rsid w:val="00A552BC"/>
    <w:rsid w:val="00A56DC7"/>
    <w:rsid w:val="00A56E34"/>
    <w:rsid w:val="00A65B09"/>
    <w:rsid w:val="00A6652C"/>
    <w:rsid w:val="00A71AAF"/>
    <w:rsid w:val="00A74FD1"/>
    <w:rsid w:val="00A8061F"/>
    <w:rsid w:val="00A84A58"/>
    <w:rsid w:val="00A878F5"/>
    <w:rsid w:val="00A91DF1"/>
    <w:rsid w:val="00A949BF"/>
    <w:rsid w:val="00A977FC"/>
    <w:rsid w:val="00AB03E6"/>
    <w:rsid w:val="00AB0AA9"/>
    <w:rsid w:val="00AB66AE"/>
    <w:rsid w:val="00AD0EE2"/>
    <w:rsid w:val="00AD1B97"/>
    <w:rsid w:val="00AD22F9"/>
    <w:rsid w:val="00AD618F"/>
    <w:rsid w:val="00AD7A3D"/>
    <w:rsid w:val="00AE4E6E"/>
    <w:rsid w:val="00AE766D"/>
    <w:rsid w:val="00AF06FC"/>
    <w:rsid w:val="00AF0825"/>
    <w:rsid w:val="00AF3391"/>
    <w:rsid w:val="00AF387F"/>
    <w:rsid w:val="00B00E7F"/>
    <w:rsid w:val="00B0309D"/>
    <w:rsid w:val="00B033B0"/>
    <w:rsid w:val="00B048EE"/>
    <w:rsid w:val="00B173DA"/>
    <w:rsid w:val="00B20A0A"/>
    <w:rsid w:val="00B21DCC"/>
    <w:rsid w:val="00B25F37"/>
    <w:rsid w:val="00B271F3"/>
    <w:rsid w:val="00B366C4"/>
    <w:rsid w:val="00B44422"/>
    <w:rsid w:val="00B46EA0"/>
    <w:rsid w:val="00B50C83"/>
    <w:rsid w:val="00B51E03"/>
    <w:rsid w:val="00B53C43"/>
    <w:rsid w:val="00B57FF4"/>
    <w:rsid w:val="00B614D2"/>
    <w:rsid w:val="00B65F25"/>
    <w:rsid w:val="00B71F51"/>
    <w:rsid w:val="00B731D3"/>
    <w:rsid w:val="00B76DC7"/>
    <w:rsid w:val="00B839A3"/>
    <w:rsid w:val="00B853D2"/>
    <w:rsid w:val="00B902BD"/>
    <w:rsid w:val="00B909F8"/>
    <w:rsid w:val="00B9694C"/>
    <w:rsid w:val="00BA24E2"/>
    <w:rsid w:val="00BB22EF"/>
    <w:rsid w:val="00BB2B60"/>
    <w:rsid w:val="00BB315D"/>
    <w:rsid w:val="00BB4F5B"/>
    <w:rsid w:val="00BC4049"/>
    <w:rsid w:val="00BC536D"/>
    <w:rsid w:val="00BD1753"/>
    <w:rsid w:val="00BD2A39"/>
    <w:rsid w:val="00BD2E80"/>
    <w:rsid w:val="00BE11B8"/>
    <w:rsid w:val="00BE3818"/>
    <w:rsid w:val="00BE7A0A"/>
    <w:rsid w:val="00BF3384"/>
    <w:rsid w:val="00BF7FF0"/>
    <w:rsid w:val="00C033D6"/>
    <w:rsid w:val="00C0375F"/>
    <w:rsid w:val="00C12502"/>
    <w:rsid w:val="00C1266C"/>
    <w:rsid w:val="00C140AE"/>
    <w:rsid w:val="00C14FD2"/>
    <w:rsid w:val="00C15AC2"/>
    <w:rsid w:val="00C219F2"/>
    <w:rsid w:val="00C268A5"/>
    <w:rsid w:val="00C30426"/>
    <w:rsid w:val="00C36578"/>
    <w:rsid w:val="00C40AA5"/>
    <w:rsid w:val="00C46F70"/>
    <w:rsid w:val="00C476D0"/>
    <w:rsid w:val="00C53313"/>
    <w:rsid w:val="00C56F71"/>
    <w:rsid w:val="00C836E3"/>
    <w:rsid w:val="00C841DA"/>
    <w:rsid w:val="00C8465A"/>
    <w:rsid w:val="00C86577"/>
    <w:rsid w:val="00C91DC5"/>
    <w:rsid w:val="00C92E07"/>
    <w:rsid w:val="00C944FE"/>
    <w:rsid w:val="00C94942"/>
    <w:rsid w:val="00C96284"/>
    <w:rsid w:val="00C96868"/>
    <w:rsid w:val="00C96A50"/>
    <w:rsid w:val="00CA0416"/>
    <w:rsid w:val="00CA04AF"/>
    <w:rsid w:val="00CA4765"/>
    <w:rsid w:val="00CA47EF"/>
    <w:rsid w:val="00CA7826"/>
    <w:rsid w:val="00CB127F"/>
    <w:rsid w:val="00CB1375"/>
    <w:rsid w:val="00CB218A"/>
    <w:rsid w:val="00CC0F37"/>
    <w:rsid w:val="00CC264E"/>
    <w:rsid w:val="00CC36E7"/>
    <w:rsid w:val="00CC46A0"/>
    <w:rsid w:val="00CC560B"/>
    <w:rsid w:val="00CC70E4"/>
    <w:rsid w:val="00CC75E2"/>
    <w:rsid w:val="00CD46EB"/>
    <w:rsid w:val="00CD7EBF"/>
    <w:rsid w:val="00CE023E"/>
    <w:rsid w:val="00CE25C8"/>
    <w:rsid w:val="00CE5066"/>
    <w:rsid w:val="00CE5E84"/>
    <w:rsid w:val="00CF047E"/>
    <w:rsid w:val="00D056F1"/>
    <w:rsid w:val="00D062E4"/>
    <w:rsid w:val="00D0706C"/>
    <w:rsid w:val="00D071D3"/>
    <w:rsid w:val="00D11171"/>
    <w:rsid w:val="00D14405"/>
    <w:rsid w:val="00D17DE0"/>
    <w:rsid w:val="00D205B8"/>
    <w:rsid w:val="00D22F3C"/>
    <w:rsid w:val="00D23DB6"/>
    <w:rsid w:val="00D25F4D"/>
    <w:rsid w:val="00D26814"/>
    <w:rsid w:val="00D3171B"/>
    <w:rsid w:val="00D31985"/>
    <w:rsid w:val="00D410FE"/>
    <w:rsid w:val="00D43FE6"/>
    <w:rsid w:val="00D50501"/>
    <w:rsid w:val="00D51A95"/>
    <w:rsid w:val="00D60568"/>
    <w:rsid w:val="00D60660"/>
    <w:rsid w:val="00D6140A"/>
    <w:rsid w:val="00D67435"/>
    <w:rsid w:val="00D70C7A"/>
    <w:rsid w:val="00D73931"/>
    <w:rsid w:val="00D807B9"/>
    <w:rsid w:val="00D81D38"/>
    <w:rsid w:val="00D81E3F"/>
    <w:rsid w:val="00D8470F"/>
    <w:rsid w:val="00D8471A"/>
    <w:rsid w:val="00D873BF"/>
    <w:rsid w:val="00D93AE4"/>
    <w:rsid w:val="00DA10A8"/>
    <w:rsid w:val="00DA2A9A"/>
    <w:rsid w:val="00DA6FFB"/>
    <w:rsid w:val="00DA7610"/>
    <w:rsid w:val="00DB0996"/>
    <w:rsid w:val="00DB1E08"/>
    <w:rsid w:val="00DB2973"/>
    <w:rsid w:val="00DB324A"/>
    <w:rsid w:val="00DB5DB2"/>
    <w:rsid w:val="00DB7A08"/>
    <w:rsid w:val="00DC0FD1"/>
    <w:rsid w:val="00DC1B56"/>
    <w:rsid w:val="00DC2129"/>
    <w:rsid w:val="00DC3C72"/>
    <w:rsid w:val="00DC6570"/>
    <w:rsid w:val="00DD1E61"/>
    <w:rsid w:val="00DD3C5E"/>
    <w:rsid w:val="00DD68CB"/>
    <w:rsid w:val="00DE4862"/>
    <w:rsid w:val="00DE79D9"/>
    <w:rsid w:val="00DF0496"/>
    <w:rsid w:val="00DF25C3"/>
    <w:rsid w:val="00DF5EF5"/>
    <w:rsid w:val="00E01025"/>
    <w:rsid w:val="00E04062"/>
    <w:rsid w:val="00E063C6"/>
    <w:rsid w:val="00E20004"/>
    <w:rsid w:val="00E2003B"/>
    <w:rsid w:val="00E203C2"/>
    <w:rsid w:val="00E23E3B"/>
    <w:rsid w:val="00E279D8"/>
    <w:rsid w:val="00E27B03"/>
    <w:rsid w:val="00E319B1"/>
    <w:rsid w:val="00E349EB"/>
    <w:rsid w:val="00E366E2"/>
    <w:rsid w:val="00E40ED4"/>
    <w:rsid w:val="00E43377"/>
    <w:rsid w:val="00E44E0D"/>
    <w:rsid w:val="00E520FE"/>
    <w:rsid w:val="00E54195"/>
    <w:rsid w:val="00E5492F"/>
    <w:rsid w:val="00E60C85"/>
    <w:rsid w:val="00E626C7"/>
    <w:rsid w:val="00E62DEF"/>
    <w:rsid w:val="00E6588B"/>
    <w:rsid w:val="00E70A86"/>
    <w:rsid w:val="00E7436A"/>
    <w:rsid w:val="00E75054"/>
    <w:rsid w:val="00E7541A"/>
    <w:rsid w:val="00E76DC9"/>
    <w:rsid w:val="00E777EC"/>
    <w:rsid w:val="00E80FCD"/>
    <w:rsid w:val="00E81F6E"/>
    <w:rsid w:val="00E97A15"/>
    <w:rsid w:val="00EA3212"/>
    <w:rsid w:val="00EA6AB4"/>
    <w:rsid w:val="00EA7F2F"/>
    <w:rsid w:val="00EB094F"/>
    <w:rsid w:val="00EB4117"/>
    <w:rsid w:val="00EB5833"/>
    <w:rsid w:val="00EC00DE"/>
    <w:rsid w:val="00EC30E1"/>
    <w:rsid w:val="00EC6209"/>
    <w:rsid w:val="00ED172A"/>
    <w:rsid w:val="00EE0A23"/>
    <w:rsid w:val="00EE5698"/>
    <w:rsid w:val="00EF275D"/>
    <w:rsid w:val="00EF3B28"/>
    <w:rsid w:val="00F0750B"/>
    <w:rsid w:val="00F07F91"/>
    <w:rsid w:val="00F13BC8"/>
    <w:rsid w:val="00F14BEC"/>
    <w:rsid w:val="00F20F7F"/>
    <w:rsid w:val="00F225C5"/>
    <w:rsid w:val="00F23B48"/>
    <w:rsid w:val="00F2587A"/>
    <w:rsid w:val="00F27535"/>
    <w:rsid w:val="00F30C12"/>
    <w:rsid w:val="00F33BB8"/>
    <w:rsid w:val="00F3715D"/>
    <w:rsid w:val="00F420C8"/>
    <w:rsid w:val="00F422DD"/>
    <w:rsid w:val="00F42A4C"/>
    <w:rsid w:val="00F45418"/>
    <w:rsid w:val="00F463F8"/>
    <w:rsid w:val="00F50C20"/>
    <w:rsid w:val="00F52218"/>
    <w:rsid w:val="00F53B04"/>
    <w:rsid w:val="00F55B40"/>
    <w:rsid w:val="00F604DE"/>
    <w:rsid w:val="00F62EB0"/>
    <w:rsid w:val="00F64653"/>
    <w:rsid w:val="00F7535A"/>
    <w:rsid w:val="00F77CAD"/>
    <w:rsid w:val="00F938F4"/>
    <w:rsid w:val="00F96D31"/>
    <w:rsid w:val="00FB1533"/>
    <w:rsid w:val="00FB7512"/>
    <w:rsid w:val="00FC2EC2"/>
    <w:rsid w:val="00FD1578"/>
    <w:rsid w:val="00FD1CA6"/>
    <w:rsid w:val="00FD2FBE"/>
    <w:rsid w:val="00FD7547"/>
    <w:rsid w:val="00FF5954"/>
    <w:rsid w:val="00FF5F5C"/>
    <w:rsid w:val="00FF6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header" w:uiPriority="99"/>
    <w:lsdException w:name="footer" w:uiPriority="99"/>
    <w:lsdException w:name="caption" w:semiHidden="1" w:unhideWhenUsed="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99"/>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222B05"/>
    <w:pPr>
      <w:tabs>
        <w:tab w:val="left" w:pos="880"/>
        <w:tab w:val="right" w:leader="dot" w:pos="9016"/>
      </w:tabs>
      <w:ind w:left="220"/>
    </w:pPr>
    <w:rPr>
      <w:rFonts w:ascii="Arial Bold" w:hAnsi="Arial Bold" w:cstheme="minorHAnsi"/>
      <w:smallCaps/>
      <w:noProof/>
      <w:sz w:val="20"/>
      <w:szCs w:val="20"/>
    </w:rPr>
  </w:style>
  <w:style w:type="paragraph" w:styleId="Footer">
    <w:name w:val="footer"/>
    <w:aliases w:val="FS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aliases w:val="FSHeader Char"/>
    <w:basedOn w:val="DefaultParagraphFont"/>
    <w:link w:val="Header"/>
    <w:uiPriority w:val="99"/>
    <w:rsid w:val="006342E0"/>
    <w:rPr>
      <w:rFonts w:ascii="Arial" w:hAnsi="Arial"/>
      <w:sz w:val="22"/>
      <w:szCs w:val="24"/>
      <w:lang w:eastAsia="en-US" w:bidi="en-US"/>
    </w:rPr>
  </w:style>
  <w:style w:type="character" w:customStyle="1" w:styleId="FootnoteTextChar">
    <w:name w:val="Footnote Text Char"/>
    <w:basedOn w:val="DefaultParagraphFont"/>
    <w:link w:val="FootnoteText"/>
    <w:semiHidden/>
    <w:rsid w:val="00171830"/>
    <w:rPr>
      <w:rFonts w:ascii="Arial" w:hAnsi="Arial"/>
      <w:lang w:eastAsia="en-US" w:bidi="en-US"/>
    </w:rPr>
  </w:style>
  <w:style w:type="paragraph" w:styleId="Title">
    <w:name w:val="Title"/>
    <w:basedOn w:val="Normal"/>
    <w:link w:val="TitleChar"/>
    <w:rsid w:val="00700DA3"/>
    <w:pPr>
      <w:widowControl/>
      <w:jc w:val="center"/>
    </w:pPr>
    <w:rPr>
      <w:b/>
      <w:bCs/>
      <w:i/>
      <w:iCs/>
      <w:lang w:val="en-AU" w:bidi="ar-SA"/>
    </w:rPr>
  </w:style>
  <w:style w:type="character" w:customStyle="1" w:styleId="TitleChar">
    <w:name w:val="Title Char"/>
    <w:basedOn w:val="DefaultParagraphFont"/>
    <w:link w:val="Title"/>
    <w:rsid w:val="00700DA3"/>
    <w:rPr>
      <w:rFonts w:ascii="Arial" w:hAnsi="Arial"/>
      <w:b/>
      <w:bCs/>
      <w:i/>
      <w:iCs/>
      <w:sz w:val="22"/>
      <w:szCs w:val="24"/>
      <w:lang w:val="en-AU" w:eastAsia="en-US"/>
    </w:rPr>
  </w:style>
  <w:style w:type="paragraph" w:customStyle="1" w:styleId="AARTableText">
    <w:name w:val="AAR Table Text"/>
    <w:basedOn w:val="Normal"/>
    <w:rsid w:val="00700DA3"/>
    <w:pPr>
      <w:widowControl/>
      <w:spacing w:before="60" w:after="60"/>
    </w:pPr>
    <w:rPr>
      <w:rFonts w:cs="Arial"/>
      <w:sz w:val="20"/>
      <w:szCs w:val="20"/>
      <w:lang w:val="en-AU" w:bidi="ar-SA"/>
    </w:rPr>
  </w:style>
  <w:style w:type="paragraph" w:customStyle="1" w:styleId="Bodystyle">
    <w:name w:val="Body style"/>
    <w:basedOn w:val="Normal"/>
    <w:link w:val="BodystyleChar"/>
    <w:rsid w:val="0013455B"/>
    <w:pPr>
      <w:widowControl/>
      <w:spacing w:after="240"/>
    </w:pPr>
    <w:rPr>
      <w:lang w:val="en-AU" w:bidi="ar-SA"/>
    </w:rPr>
  </w:style>
  <w:style w:type="character" w:customStyle="1" w:styleId="BodystyleChar">
    <w:name w:val="Body style Char"/>
    <w:link w:val="Bodystyle"/>
    <w:rsid w:val="0013455B"/>
    <w:rPr>
      <w:rFonts w:ascii="Arial" w:hAnsi="Arial"/>
      <w:sz w:val="22"/>
      <w:szCs w:val="24"/>
      <w:lang w:val="en-AU" w:eastAsia="en-US"/>
    </w:rPr>
  </w:style>
  <w:style w:type="character" w:customStyle="1" w:styleId="FooterChar">
    <w:name w:val="Footer Char"/>
    <w:aliases w:val="FSFooter Char"/>
    <w:basedOn w:val="DefaultParagraphFont"/>
    <w:link w:val="Footer"/>
    <w:uiPriority w:val="99"/>
    <w:rsid w:val="00080BAF"/>
    <w:rPr>
      <w:rFonts w:ascii="Arial" w:hAnsi="Arial"/>
      <w:szCs w:val="24"/>
      <w:lang w:eastAsia="en-US" w:bidi="en-US"/>
    </w:rPr>
  </w:style>
  <w:style w:type="character" w:customStyle="1" w:styleId="FSBullet1Char1">
    <w:name w:val="FSBullet 1 Char1"/>
    <w:basedOn w:val="DefaultParagraphFont"/>
    <w:rsid w:val="00080BAF"/>
    <w:rPr>
      <w:rFonts w:eastAsia="Times New Roman"/>
      <w:szCs w:val="24"/>
      <w:lang w:val="en-GB" w:bidi="en-US"/>
    </w:rPr>
  </w:style>
  <w:style w:type="character" w:styleId="LineNumber">
    <w:name w:val="line number"/>
    <w:basedOn w:val="DefaultParagraphFont"/>
    <w:rsid w:val="00786E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header" w:uiPriority="99"/>
    <w:lsdException w:name="footer" w:uiPriority="99"/>
    <w:lsdException w:name="caption" w:semiHidden="1" w:unhideWhenUsed="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99"/>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222B05"/>
    <w:pPr>
      <w:tabs>
        <w:tab w:val="left" w:pos="880"/>
        <w:tab w:val="right" w:leader="dot" w:pos="9016"/>
      </w:tabs>
      <w:ind w:left="220"/>
    </w:pPr>
    <w:rPr>
      <w:rFonts w:ascii="Arial Bold" w:hAnsi="Arial Bold" w:cstheme="minorHAnsi"/>
      <w:smallCaps/>
      <w:noProof/>
      <w:sz w:val="20"/>
      <w:szCs w:val="20"/>
    </w:rPr>
  </w:style>
  <w:style w:type="paragraph" w:styleId="Footer">
    <w:name w:val="footer"/>
    <w:aliases w:val="FS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aliases w:val="FSHeader Char"/>
    <w:basedOn w:val="DefaultParagraphFont"/>
    <w:link w:val="Header"/>
    <w:uiPriority w:val="99"/>
    <w:rsid w:val="006342E0"/>
    <w:rPr>
      <w:rFonts w:ascii="Arial" w:hAnsi="Arial"/>
      <w:sz w:val="22"/>
      <w:szCs w:val="24"/>
      <w:lang w:eastAsia="en-US" w:bidi="en-US"/>
    </w:rPr>
  </w:style>
  <w:style w:type="character" w:customStyle="1" w:styleId="FootnoteTextChar">
    <w:name w:val="Footnote Text Char"/>
    <w:basedOn w:val="DefaultParagraphFont"/>
    <w:link w:val="FootnoteText"/>
    <w:semiHidden/>
    <w:rsid w:val="00171830"/>
    <w:rPr>
      <w:rFonts w:ascii="Arial" w:hAnsi="Arial"/>
      <w:lang w:eastAsia="en-US" w:bidi="en-US"/>
    </w:rPr>
  </w:style>
  <w:style w:type="paragraph" w:styleId="Title">
    <w:name w:val="Title"/>
    <w:basedOn w:val="Normal"/>
    <w:link w:val="TitleChar"/>
    <w:rsid w:val="00700DA3"/>
    <w:pPr>
      <w:widowControl/>
      <w:jc w:val="center"/>
    </w:pPr>
    <w:rPr>
      <w:b/>
      <w:bCs/>
      <w:i/>
      <w:iCs/>
      <w:lang w:val="en-AU" w:bidi="ar-SA"/>
    </w:rPr>
  </w:style>
  <w:style w:type="character" w:customStyle="1" w:styleId="TitleChar">
    <w:name w:val="Title Char"/>
    <w:basedOn w:val="DefaultParagraphFont"/>
    <w:link w:val="Title"/>
    <w:rsid w:val="00700DA3"/>
    <w:rPr>
      <w:rFonts w:ascii="Arial" w:hAnsi="Arial"/>
      <w:b/>
      <w:bCs/>
      <w:i/>
      <w:iCs/>
      <w:sz w:val="22"/>
      <w:szCs w:val="24"/>
      <w:lang w:val="en-AU" w:eastAsia="en-US"/>
    </w:rPr>
  </w:style>
  <w:style w:type="paragraph" w:customStyle="1" w:styleId="AARTableText">
    <w:name w:val="AAR Table Text"/>
    <w:basedOn w:val="Normal"/>
    <w:rsid w:val="00700DA3"/>
    <w:pPr>
      <w:widowControl/>
      <w:spacing w:before="60" w:after="60"/>
    </w:pPr>
    <w:rPr>
      <w:rFonts w:cs="Arial"/>
      <w:sz w:val="20"/>
      <w:szCs w:val="20"/>
      <w:lang w:val="en-AU" w:bidi="ar-SA"/>
    </w:rPr>
  </w:style>
  <w:style w:type="paragraph" w:customStyle="1" w:styleId="Bodystyle">
    <w:name w:val="Body style"/>
    <w:basedOn w:val="Normal"/>
    <w:link w:val="BodystyleChar"/>
    <w:rsid w:val="0013455B"/>
    <w:pPr>
      <w:widowControl/>
      <w:spacing w:after="240"/>
    </w:pPr>
    <w:rPr>
      <w:lang w:val="en-AU" w:bidi="ar-SA"/>
    </w:rPr>
  </w:style>
  <w:style w:type="character" w:customStyle="1" w:styleId="BodystyleChar">
    <w:name w:val="Body style Char"/>
    <w:link w:val="Bodystyle"/>
    <w:rsid w:val="0013455B"/>
    <w:rPr>
      <w:rFonts w:ascii="Arial" w:hAnsi="Arial"/>
      <w:sz w:val="22"/>
      <w:szCs w:val="24"/>
      <w:lang w:val="en-AU" w:eastAsia="en-US"/>
    </w:rPr>
  </w:style>
  <w:style w:type="character" w:customStyle="1" w:styleId="FooterChar">
    <w:name w:val="Footer Char"/>
    <w:aliases w:val="FSFooter Char"/>
    <w:basedOn w:val="DefaultParagraphFont"/>
    <w:link w:val="Footer"/>
    <w:uiPriority w:val="99"/>
    <w:rsid w:val="00080BAF"/>
    <w:rPr>
      <w:rFonts w:ascii="Arial" w:hAnsi="Arial"/>
      <w:szCs w:val="24"/>
      <w:lang w:eastAsia="en-US" w:bidi="en-US"/>
    </w:rPr>
  </w:style>
  <w:style w:type="character" w:customStyle="1" w:styleId="FSBullet1Char1">
    <w:name w:val="FSBullet 1 Char1"/>
    <w:basedOn w:val="DefaultParagraphFont"/>
    <w:rsid w:val="00080BAF"/>
    <w:rPr>
      <w:rFonts w:eastAsia="Times New Roman"/>
      <w:szCs w:val="24"/>
      <w:lang w:val="en-GB" w:bidi="en-US"/>
    </w:rPr>
  </w:style>
  <w:style w:type="character" w:styleId="LineNumber">
    <w:name w:val="line number"/>
    <w:basedOn w:val="DefaultParagraphFont"/>
    <w:rsid w:val="00786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23444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foodstandards.gov.au/code/applications/Pages/A1092-Irradiation.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customXml" Target="../customXml/item4.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efsa.europa.eu/en/efsajournal/pub/1930.htm" TargetMode="Externa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applications/Pages/applicationa1069irra5511.aspx" TargetMode="External"/><Relationship Id="rId2" Type="http://schemas.openxmlformats.org/officeDocument/2006/relationships/hyperlink" Target="http://www.foodstandards.gov.au/code/applications/Pages/applicationa1038irra4655.aspx" TargetMode="External"/><Relationship Id="rId1" Type="http://schemas.openxmlformats.org/officeDocument/2006/relationships/hyperlink" Target="http://www.foodstandards.gov.au/code/applications/Pages/applicationa443irradiationoftropicalfruit/Default.aspx" TargetMode="External"/><Relationship Id="rId5" Type="http://schemas.openxmlformats.org/officeDocument/2006/relationships/hyperlink" Target="http://www.foodstandards.gov.au/code/proposals/Pages/proposalp1025coderev5755.aspx" TargetMode="External"/><Relationship Id="rId4" Type="http://schemas.openxmlformats.org/officeDocument/2006/relationships/hyperlink" Target="http://www.foodstandards.gov.au/publications/Pages/Nutritional-impact-of-phytosanitary-irradiation-of-fruits-and-vegetabl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A873B-A1A6-4913-9A12-E04A3EFD7202}"/>
</file>

<file path=customXml/itemProps2.xml><?xml version="1.0" encoding="utf-8"?>
<ds:datastoreItem xmlns:ds="http://schemas.openxmlformats.org/officeDocument/2006/customXml" ds:itemID="{48484D6D-239B-4DB6-ACBD-39F27620B692}"/>
</file>

<file path=customXml/itemProps3.xml><?xml version="1.0" encoding="utf-8"?>
<ds:datastoreItem xmlns:ds="http://schemas.openxmlformats.org/officeDocument/2006/customXml" ds:itemID="{12F36B73-8C7A-46DF-AE61-ED3710D75325}"/>
</file>

<file path=customXml/itemProps4.xml><?xml version="1.0" encoding="utf-8"?>
<ds:datastoreItem xmlns:ds="http://schemas.openxmlformats.org/officeDocument/2006/customXml" ds:itemID="{1997D04A-A216-496B-A0C4-BA7D72644C00}"/>
</file>

<file path=docProps/app.xml><?xml version="1.0" encoding="utf-8"?>
<Properties xmlns="http://schemas.openxmlformats.org/officeDocument/2006/extended-properties" xmlns:vt="http://schemas.openxmlformats.org/officeDocument/2006/docPropsVTypes">
  <Template>Normal</Template>
  <TotalTime>0</TotalTime>
  <Pages>18</Pages>
  <Words>5563</Words>
  <Characters>33862</Characters>
  <Application>Microsoft Office Word</Application>
  <DocSecurity>0</DocSecurity>
  <Lines>282</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39347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A1092 Irradiation-CFS</dc:title>
  <dc:creator/>
  <cp:lastModifiedBy/>
  <cp:revision>1</cp:revision>
  <dcterms:created xsi:type="dcterms:W3CDTF">2014-08-25T02:06:00Z</dcterms:created>
  <dcterms:modified xsi:type="dcterms:W3CDTF">2014-08-25T02:22:00Z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